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00F5" w14:textId="77777777" w:rsidR="003D1598" w:rsidRPr="00C2068A" w:rsidRDefault="00B11EA1" w:rsidP="003D15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</w:pPr>
      <w:r w:rsidRPr="00C2068A">
        <w:rPr>
          <w:rFonts w:ascii="Arial" w:eastAsia="Times New Roman" w:hAnsi="Arial" w:cs="Arial"/>
          <w:b/>
          <w:bCs/>
          <w:sz w:val="36"/>
          <w:szCs w:val="36"/>
          <w:lang w:eastAsia="lt-LT"/>
        </w:rPr>
        <w:t>5.</w:t>
      </w:r>
      <w:r w:rsidR="00C2068A">
        <w:rPr>
          <w:rFonts w:ascii="Arial" w:eastAsia="Times New Roman" w:hAnsi="Arial" w:cs="Arial"/>
          <w:b/>
          <w:bCs/>
          <w:sz w:val="36"/>
          <w:szCs w:val="36"/>
          <w:lang w:eastAsia="lt-LT"/>
        </w:rPr>
        <w:t xml:space="preserve"> </w:t>
      </w:r>
      <w:proofErr w:type="spellStart"/>
      <w:r w:rsidR="003D1598" w:rsidRPr="009473D8">
        <w:rPr>
          <w:rFonts w:ascii="Arial" w:eastAsia="Times New Roman" w:hAnsi="Arial" w:cs="Arial"/>
          <w:b/>
          <w:bCs/>
          <w:sz w:val="36"/>
          <w:szCs w:val="36"/>
          <w:lang w:eastAsia="lt-LT"/>
        </w:rPr>
        <w:t>Antoni</w:t>
      </w:r>
      <w:proofErr w:type="spellEnd"/>
      <w:r w:rsidR="003D1598" w:rsidRPr="009473D8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proofErr w:type="spellStart"/>
      <w:r w:rsidR="003D1598" w:rsidRPr="009473D8">
        <w:rPr>
          <w:rFonts w:ascii="Arial" w:eastAsia="Times New Roman" w:hAnsi="Arial" w:cs="Arial"/>
          <w:b/>
          <w:bCs/>
          <w:sz w:val="36"/>
          <w:szCs w:val="36"/>
          <w:lang w:eastAsia="lt-LT"/>
        </w:rPr>
        <w:t>Perez</w:t>
      </w:r>
      <w:proofErr w:type="spellEnd"/>
      <w:r w:rsidR="003D1598" w:rsidRPr="009473D8">
        <w:rPr>
          <w:rFonts w:ascii="Arial" w:eastAsia="Times New Roman" w:hAnsi="Arial" w:cs="Arial"/>
          <w:b/>
          <w:bCs/>
          <w:sz w:val="36"/>
          <w:szCs w:val="36"/>
          <w:lang w:eastAsia="lt-LT"/>
        </w:rPr>
        <w:t>.</w:t>
      </w:r>
      <w:r w:rsidR="003D1598" w:rsidRPr="00C2068A">
        <w:rPr>
          <w:rFonts w:ascii="Arial" w:eastAsia="Times New Roman" w:hAnsi="Arial" w:cs="Arial"/>
          <w:b/>
          <w:bCs/>
          <w:sz w:val="36"/>
          <w:szCs w:val="36"/>
          <w:lang w:eastAsia="lt-LT"/>
        </w:rPr>
        <w:t xml:space="preserve"> </w:t>
      </w:r>
      <w:proofErr w:type="spellStart"/>
      <w:r w:rsidR="003D1598" w:rsidRPr="009473D8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>Institutiones</w:t>
      </w:r>
      <w:proofErr w:type="spellEnd"/>
      <w:r w:rsidR="003D1598" w:rsidRPr="009473D8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 xml:space="preserve"> </w:t>
      </w:r>
      <w:proofErr w:type="spellStart"/>
      <w:r w:rsidR="003D1598" w:rsidRPr="009473D8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>Imperiales</w:t>
      </w:r>
      <w:proofErr w:type="spellEnd"/>
      <w:r w:rsidR="003D1598" w:rsidRPr="009473D8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 xml:space="preserve"> </w:t>
      </w:r>
      <w:proofErr w:type="spellStart"/>
      <w:r w:rsidR="003D1598" w:rsidRPr="009473D8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>Erotematibus</w:t>
      </w:r>
      <w:proofErr w:type="spellEnd"/>
      <w:r w:rsidR="003D1598" w:rsidRPr="009473D8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 xml:space="preserve"> </w:t>
      </w:r>
      <w:proofErr w:type="spellStart"/>
      <w:r w:rsidR="003D1598" w:rsidRPr="009473D8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>Distinctae</w:t>
      </w:r>
      <w:proofErr w:type="spellEnd"/>
      <w:r w:rsidR="00C2068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.</w:t>
      </w:r>
      <w:r w:rsidR="003D1598" w:rsidRPr="00C2068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proofErr w:type="spellStart"/>
      <w:r w:rsidR="003D1598" w:rsidRPr="00C2068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Amsterodami</w:t>
      </w:r>
      <w:proofErr w:type="spellEnd"/>
      <w:r w:rsidR="003D1598" w:rsidRPr="00C2068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[</w:t>
      </w:r>
      <w:proofErr w:type="spellStart"/>
      <w:r w:rsidR="003D1598" w:rsidRPr="00C2068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Amsterdam</w:t>
      </w:r>
      <w:proofErr w:type="spellEnd"/>
      <w:r w:rsidR="003D1598" w:rsidRPr="00C2068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]: </w:t>
      </w:r>
      <w:proofErr w:type="spellStart"/>
      <w:r w:rsidR="003D1598" w:rsidRPr="00C2068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Danielem</w:t>
      </w:r>
      <w:proofErr w:type="spellEnd"/>
      <w:r w:rsidR="003D1598" w:rsidRPr="00C2068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proofErr w:type="spellStart"/>
      <w:r w:rsidR="003D1598" w:rsidRPr="00C2068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Elzevirium</w:t>
      </w:r>
      <w:proofErr w:type="spellEnd"/>
      <w:r w:rsidR="00C2068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.</w:t>
      </w:r>
      <w:r w:rsidR="003D1598" w:rsidRPr="00C2068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1669. </w:t>
      </w:r>
    </w:p>
    <w:p w14:paraId="6162B003" w14:textId="77777777" w:rsidR="003D1598" w:rsidRPr="00C2068A" w:rsidRDefault="00BD688C" w:rsidP="003D15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</w:pPr>
      <w:r w:rsidRPr="00C2068A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Ispanų teisininko A.</w:t>
      </w:r>
      <w:r w:rsidR="000316A3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 xml:space="preserve"> </w:t>
      </w:r>
      <w:proofErr w:type="spellStart"/>
      <w:r w:rsidRPr="00C2068A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Perez</w:t>
      </w:r>
      <w:r w:rsidR="001629E2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’o</w:t>
      </w:r>
      <w:proofErr w:type="spellEnd"/>
      <w:r w:rsidRPr="00C2068A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 xml:space="preserve"> romėnų teisės vadovėlis parengtas ypatinga </w:t>
      </w:r>
      <w:r w:rsidRPr="00C2068A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lt-LT"/>
        </w:rPr>
        <w:t>erotine</w:t>
      </w:r>
      <w:r w:rsidRPr="00C2068A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 xml:space="preserve"> forma, kai dėstoma klausimų</w:t>
      </w:r>
      <w:r w:rsidR="000316A3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 xml:space="preserve"> ir</w:t>
      </w:r>
      <w:r w:rsidRPr="00C2068A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 xml:space="preserve"> atsakymų būdu pagal pateiktas temas. Vadovėlio struktūra, tematika paremta romėnų teisininko Gajaus veikalu </w:t>
      </w:r>
      <w:r w:rsidRPr="00C2068A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lt-LT"/>
        </w:rPr>
        <w:t>Institucijos</w:t>
      </w:r>
      <w:r w:rsidRPr="00C2068A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. Leidinys vertingas ir ka</w:t>
      </w:r>
      <w:r w:rsidR="000316A3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i</w:t>
      </w:r>
      <w:r w:rsidRPr="00C2068A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 xml:space="preserve">p knygos meno artefaktas, nes išleistas garsioje olandų </w:t>
      </w:r>
      <w:r w:rsidR="000316A3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„</w:t>
      </w:r>
      <w:proofErr w:type="spellStart"/>
      <w:r w:rsidRPr="00C2068A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Elzevi</w:t>
      </w:r>
      <w:r w:rsidR="0007726E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e</w:t>
      </w:r>
      <w:r w:rsidRPr="00C2068A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r</w:t>
      </w:r>
      <w:proofErr w:type="spellEnd"/>
      <w:r w:rsidR="000316A3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“</w:t>
      </w:r>
      <w:r w:rsidRPr="00C2068A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 xml:space="preserve"> leidykloje, garsėj</w:t>
      </w:r>
      <w:r w:rsidR="000316A3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usioje</w:t>
      </w:r>
      <w:r w:rsidRPr="00C2068A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 xml:space="preserve"> knygų kokybe ir puikiu apipavidalinimu, todėl itin vertinta bibliofilų.</w:t>
      </w:r>
    </w:p>
    <w:p w14:paraId="22074A6B" w14:textId="77777777" w:rsidR="003D1598" w:rsidRPr="00C2068A" w:rsidRDefault="003D1598" w:rsidP="003D15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</w:pPr>
      <w:proofErr w:type="spellStart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Antonio</w:t>
      </w:r>
      <w:proofErr w:type="spellEnd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proofErr w:type="spellStart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Perez</w:t>
      </w:r>
      <w:proofErr w:type="spellEnd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(1583-1673) buvo ispanų teisininkas ir valstybės veikėjas, studijavęs Venecijoje, </w:t>
      </w:r>
      <w:proofErr w:type="spellStart"/>
      <w:r w:rsidR="005C30C1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P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adujoje</w:t>
      </w:r>
      <w:proofErr w:type="spellEnd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ir Liuvene</w:t>
      </w:r>
      <w:r w:rsidR="005C30C1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.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r w:rsidR="005C30C1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Liuvene jis tapo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profesorium</w:t>
      </w:r>
      <w:r w:rsidR="005C30C1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i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r w:rsidR="005C678A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ir dirbo kaip civilinės teisės egzaminuotojas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. Karjeros viršūnę pasiekė Ispanijos karaliaus Pilypo II dvare eidamas valstybės patarėjo pareigas</w:t>
      </w:r>
      <w:r w:rsidR="0007726E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. 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Per pirmuosius dešimt metų sekretoriaus pareigose </w:t>
      </w:r>
      <w:proofErr w:type="spellStart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Antonio</w:t>
      </w:r>
      <w:proofErr w:type="spellEnd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proofErr w:type="spellStart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Pérez</w:t>
      </w:r>
      <w:proofErr w:type="spellEnd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turėjo didelę įtaką karaliui, kuris vertino jo patarimus. Dėl politinių intrigų ir įsivėlim</w:t>
      </w:r>
      <w:r w:rsidR="0007726E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o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į grupuočių ginčus, teko bėgti iš Ispanijos ir likusią gyvenimo dalį pralei</w:t>
      </w:r>
      <w:r w:rsidR="0007726E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sti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Prancūzijoje.</w:t>
      </w:r>
      <w:r w:rsidR="0007726E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r w:rsidR="0007726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Europoje </w:t>
      </w:r>
      <w:r w:rsidR="0007726E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jis </w:t>
      </w:r>
      <w:r w:rsidR="0007726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išgarsėjo kaip įtakingas romėnų teisės mokslininkas.</w:t>
      </w:r>
    </w:p>
    <w:p w14:paraId="0CBEB0DC" w14:textId="77777777" w:rsidR="003D1598" w:rsidRPr="00C2068A" w:rsidRDefault="003D1598" w:rsidP="003D15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</w:pP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Ši knyga</w:t>
      </w:r>
      <w:r w:rsidR="005C678A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išleista </w:t>
      </w:r>
      <w:r w:rsidR="0007726E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„</w:t>
      </w:r>
      <w:proofErr w:type="spellStart"/>
      <w:r w:rsidR="005C678A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Elzevi</w:t>
      </w:r>
      <w:r w:rsidR="0007726E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e</w:t>
      </w:r>
      <w:r w:rsidR="005C678A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r</w:t>
      </w:r>
      <w:proofErr w:type="spellEnd"/>
      <w:r w:rsidR="0007726E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“</w:t>
      </w:r>
      <w:r w:rsidR="005C678A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leidykloje, Amsterdame. Leidykla ypatinga tuo, kad leido itin aukštos kokybės knygas, pasižymėjusias tiek popieriaus, tiek meninio apipavidalinimo kokybe, knygotyroje šios knygos vadinamos </w:t>
      </w:r>
      <w:proofErr w:type="spellStart"/>
      <w:r w:rsidR="005C678A" w:rsidRPr="00C2068A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elzevyrais</w:t>
      </w:r>
      <w:proofErr w:type="spellEnd"/>
      <w:r w:rsidR="005C678A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. Lietuvoje saugoma apie 1000 </w:t>
      </w:r>
      <w:proofErr w:type="spellStart"/>
      <w:r w:rsidR="005C678A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elzevyrų</w:t>
      </w:r>
      <w:proofErr w:type="spellEnd"/>
      <w:r w:rsidR="005C678A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(</w:t>
      </w:r>
      <w:r w:rsidR="0007726E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iš </w:t>
      </w:r>
      <w:r w:rsidR="005C678A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viso buvo išleista apie 5000)</w:t>
      </w:r>
    </w:p>
    <w:p w14:paraId="0A938E10" w14:textId="77777777" w:rsidR="003D1598" w:rsidRPr="00C2068A" w:rsidRDefault="005C678A" w:rsidP="003D15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</w:pPr>
      <w:proofErr w:type="spellStart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Antonio</w:t>
      </w:r>
      <w:proofErr w:type="spellEnd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proofErr w:type="spellStart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Perez</w:t>
      </w:r>
      <w:r w:rsidR="00D170B3" w:rsidRPr="00D170B3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’</w:t>
      </w:r>
      <w:r w:rsidR="00D170B3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o</w:t>
      </w:r>
      <w:proofErr w:type="spellEnd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veikalas </w:t>
      </w:r>
      <w:r w:rsidR="0007726E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–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proofErr w:type="spellStart"/>
      <w:r w:rsidRPr="0007726E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Institutiones</w:t>
      </w:r>
      <w:proofErr w:type="spellEnd"/>
      <w:r w:rsidRPr="0007726E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 xml:space="preserve"> </w:t>
      </w:r>
      <w:proofErr w:type="spellStart"/>
      <w:r w:rsidRPr="0007726E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Imperiales</w:t>
      </w:r>
      <w:proofErr w:type="spellEnd"/>
      <w:r w:rsidRPr="0007726E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 xml:space="preserve"> </w:t>
      </w:r>
      <w:proofErr w:type="spellStart"/>
      <w:r w:rsidRPr="0007726E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Erotematibus</w:t>
      </w:r>
      <w:proofErr w:type="spellEnd"/>
      <w:r w:rsidRPr="0007726E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 xml:space="preserve"> </w:t>
      </w:r>
      <w:proofErr w:type="spellStart"/>
      <w:r w:rsidRPr="0007726E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Distinctae</w:t>
      </w:r>
      <w:proofErr w:type="spellEnd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 </w:t>
      </w:r>
      <w:r w:rsidR="0007726E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–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 tai didaktinis vadovėlis</w:t>
      </w:r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, kuriame </w:t>
      </w:r>
      <w:proofErr w:type="spellStart"/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Justi</w:t>
      </w:r>
      <w:r w:rsidR="0007726E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n</w:t>
      </w:r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iano</w:t>
      </w:r>
      <w:proofErr w:type="spellEnd"/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„</w:t>
      </w:r>
      <w:proofErr w:type="spellStart"/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Institutiones</w:t>
      </w:r>
      <w:proofErr w:type="spellEnd"/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“ pateikiamos erotine forma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(nieko bendro su erotika)</w:t>
      </w:r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, t. y. klausimų ir atsakymų pavidalu</w:t>
      </w:r>
      <w:r w:rsidR="0007726E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.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Veikalas atkartoja 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klasikinės romėnų teisės, Gajaus </w:t>
      </w:r>
      <w:r w:rsidRPr="002573BB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Institucij</w:t>
      </w:r>
      <w:r w:rsidR="002573BB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os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struktūr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ą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ir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suskirstyta</w:t>
      </w:r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s į keturias knygas: „De jure </w:t>
      </w:r>
      <w:proofErr w:type="spellStart"/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personarum</w:t>
      </w:r>
      <w:proofErr w:type="spellEnd"/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“ (I knyga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r w:rsidR="002573BB" w:rsidRPr="002573BB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A</w:t>
      </w:r>
      <w:r w:rsidRPr="002573BB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pie asmenis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)</w:t>
      </w:r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), „De </w:t>
      </w:r>
      <w:proofErr w:type="spellStart"/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rebus</w:t>
      </w:r>
      <w:proofErr w:type="spellEnd"/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“ (II knyga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r w:rsidRPr="002573BB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Apie daiktus</w:t>
      </w:r>
      <w:r w:rsidR="002573BB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,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t.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y. nuosavybę</w:t>
      </w:r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), „De </w:t>
      </w:r>
      <w:proofErr w:type="spellStart"/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actionibus</w:t>
      </w:r>
      <w:proofErr w:type="spellEnd"/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“ (III ir IV knygos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r w:rsidRPr="002573BB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Apie ieškinius</w:t>
      </w:r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). 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Vadovėlis pakankam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a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i originalus. Viena vertus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,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pratęsia romėniškos jurisprudencijos tradiciją pagal savo dėstymo struktūrą, 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antra vertus,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įveda naują metodą, kuris patogesnis studentui – kl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a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usimų 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ir 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atsakymų form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ą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. Kaip ir dera, vadovėlis remiasi romėnų teisės šaltiniais, j</w:t>
      </w:r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ame pateikia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mos tikslios citatos iš </w:t>
      </w:r>
      <w:proofErr w:type="spellStart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Justini</w:t>
      </w:r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ano</w:t>
      </w:r>
      <w:proofErr w:type="spellEnd"/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proofErr w:type="spellStart"/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didestų</w:t>
      </w:r>
      <w:proofErr w:type="spellEnd"/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, kodekso ar </w:t>
      </w:r>
      <w:proofErr w:type="spellStart"/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novelų</w:t>
      </w:r>
      <w:proofErr w:type="spellEnd"/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. Toks vadovėlis tapo dideliu palengvin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i</w:t>
      </w:r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mu sunkiose romanistikos studijose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.</w:t>
      </w:r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S</w:t>
      </w:r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tudentui pakako skaityti A.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proofErr w:type="spellStart"/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Perez</w:t>
      </w:r>
      <w:r w:rsidR="00D170B3" w:rsidRPr="00D170B3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’</w:t>
      </w:r>
      <w:r w:rsidR="00D170B3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o</w:t>
      </w:r>
      <w:proofErr w:type="spellEnd"/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vadovėlį, o ne ištisus romėnų teisės šaltinius (pvz.</w:t>
      </w:r>
      <w:r w:rsidR="002573BB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,</w:t>
      </w:r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proofErr w:type="spellStart"/>
      <w:r w:rsidR="00D005AE" w:rsidRPr="002573BB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Corpus</w:t>
      </w:r>
      <w:proofErr w:type="spellEnd"/>
      <w:r w:rsidR="00D005AE" w:rsidRPr="002573BB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 xml:space="preserve"> </w:t>
      </w:r>
      <w:proofErr w:type="spellStart"/>
      <w:r w:rsidR="00D005AE" w:rsidRPr="002573BB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iuris</w:t>
      </w:r>
      <w:proofErr w:type="spellEnd"/>
      <w:r w:rsidR="00D005AE" w:rsidRPr="002573BB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 xml:space="preserve"> civilis</w:t>
      </w:r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). Tik įsisavinus vadovėlį būdavo pereinama prie romėnų teisės konkrečių šaltinių. Pats autorius</w:t>
      </w:r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įvadinėje dalyje pabrėžia savo vadovėlio išskirtinumą, mokymo metodo originalumą, lyginant su to meto teisės žinov</w:t>
      </w:r>
      <w:r w:rsidR="001629E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ais</w:t>
      </w:r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proofErr w:type="spellStart"/>
      <w:r w:rsidR="00D005AE" w:rsidRPr="001629E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Cujas</w:t>
      </w:r>
      <w:r w:rsidR="00D170B3" w:rsidRPr="00D170B3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’</w:t>
      </w:r>
      <w:r w:rsidR="00D170B3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u</w:t>
      </w:r>
      <w:proofErr w:type="spellEnd"/>
      <w:r w:rsidR="00D005AE" w:rsidRPr="001629E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, </w:t>
      </w:r>
      <w:proofErr w:type="spellStart"/>
      <w:r w:rsidR="00D005AE" w:rsidRPr="001629E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Wolfius</w:t>
      </w:r>
      <w:r w:rsidR="00D170B3" w:rsidRPr="00D170B3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’</w:t>
      </w:r>
      <w:r w:rsidR="00D170B3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u</w:t>
      </w:r>
      <w:proofErr w:type="spellEnd"/>
      <w:r w:rsidR="003D1598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.</w:t>
      </w:r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Galima tik spėti, kad tokį metodą autoriu</w:t>
      </w:r>
      <w:r w:rsidR="00D170B3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s</w:t>
      </w:r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išdirbo iš savo asmeninės praktikos</w:t>
      </w:r>
      <w:r w:rsidR="00D170B3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.</w:t>
      </w:r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Liuveno universitete jam tekdavo egzaminuoti studentus iš romėnų teisės dalyko</w:t>
      </w:r>
      <w:r w:rsidR="00D170B3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ir,</w:t>
      </w:r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matyt</w:t>
      </w:r>
      <w:r w:rsidR="00D170B3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,</w:t>
      </w:r>
      <w:r w:rsidR="00D005AE"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tuomet išsiaiškino, kas studentams sunkiau įkandama ir kaip tokias temas geriau būtų perteikti.</w:t>
      </w:r>
    </w:p>
    <w:p w14:paraId="59BDC0BF" w14:textId="77777777" w:rsidR="003D1598" w:rsidRDefault="003D1598" w:rsidP="003D1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</w:p>
    <w:p w14:paraId="5F983D6C" w14:textId="77777777" w:rsidR="00BD688C" w:rsidRDefault="00BD688C" w:rsidP="003D1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</w:p>
    <w:p w14:paraId="6E79307F" w14:textId="77777777" w:rsidR="00BD688C" w:rsidRPr="003D1598" w:rsidRDefault="00BD688C" w:rsidP="003D1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lt-LT"/>
        </w:rPr>
        <w:lastRenderedPageBreak/>
        <w:drawing>
          <wp:inline distT="0" distB="0" distL="0" distR="0" wp14:anchorId="0424703B" wp14:editId="33066C4D">
            <wp:extent cx="5273040" cy="3955053"/>
            <wp:effectExtent l="0" t="762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7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134" cy="395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6774A" w14:textId="77777777" w:rsidR="003D1598" w:rsidRPr="00C2068A" w:rsidRDefault="001B5A2C" w:rsidP="003D15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</w:pP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Knygos paraštėse pateikiamos išnašos-nuorodos į konkrečius romėnų teisės šaltiniu</w:t>
      </w:r>
      <w:r w:rsidR="00D170B3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s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. </w:t>
      </w:r>
      <w:r w:rsidR="002D00C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Įdomu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, kad niekur nepažymėti šaltinių pavadinimai</w:t>
      </w:r>
      <w:r w:rsidR="002D00C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.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r w:rsidR="002D00C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Greičiausiai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todėl, kad studentas, kaip ir kiekvienas to meto teisininkas</w:t>
      </w:r>
      <w:r w:rsidR="002D00C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,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suprasdavo</w:t>
      </w:r>
      <w:r w:rsidR="002D00C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,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koks tai šaltinis iš naudojamų paragraf</w:t>
      </w:r>
      <w:r w:rsidR="002D00C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ų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, skyriaus ženklų. Ši žymėjimo sistema perimta iš VI amžiaus </w:t>
      </w:r>
      <w:proofErr w:type="spellStart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Justiniano</w:t>
      </w:r>
      <w:proofErr w:type="spellEnd"/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kodifikacijos (</w:t>
      </w:r>
      <w:proofErr w:type="spellStart"/>
      <w:r w:rsidRPr="002D00C2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Corpus</w:t>
      </w:r>
      <w:proofErr w:type="spellEnd"/>
      <w:r w:rsidRPr="002D00C2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 xml:space="preserve"> </w:t>
      </w:r>
      <w:proofErr w:type="spellStart"/>
      <w:r w:rsidRPr="002D00C2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>iuris</w:t>
      </w:r>
      <w:proofErr w:type="spellEnd"/>
      <w:r w:rsidRPr="002D00C2">
        <w:rPr>
          <w:rFonts w:ascii="Arial" w:eastAsia="Times New Roman" w:hAnsi="Arial" w:cs="Arial"/>
          <w:bCs/>
          <w:i/>
          <w:kern w:val="36"/>
          <w:sz w:val="24"/>
          <w:szCs w:val="24"/>
          <w:lang w:eastAsia="lt-LT"/>
        </w:rPr>
        <w:t xml:space="preserve"> civilis</w:t>
      </w:r>
      <w:r w:rsidR="002D00C2" w:rsidRPr="002D00C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,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XVI</w:t>
      </w:r>
      <w:r w:rsidR="002D00C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a</w:t>
      </w:r>
      <w:r w:rsidR="002D00C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.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)</w:t>
      </w:r>
      <w:r w:rsidR="002D00C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ir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teisininkams buvo puikiai žinoma</w:t>
      </w:r>
      <w:r w:rsidR="002D00C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>s</w:t>
      </w:r>
      <w:r w:rsidRPr="00C2068A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ir savaime suprantamas dalykas.</w:t>
      </w:r>
    </w:p>
    <w:p w14:paraId="3C5B352A" w14:textId="77777777" w:rsidR="00B11EA1" w:rsidRDefault="00B11EA1" w:rsidP="003D1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</w:p>
    <w:p w14:paraId="12135996" w14:textId="77777777" w:rsidR="00B11EA1" w:rsidRDefault="00B11EA1" w:rsidP="00B11EA1">
      <w:pPr>
        <w:pStyle w:val="NormalWeb"/>
      </w:pPr>
      <w:r>
        <w:rPr>
          <w:noProof/>
        </w:rPr>
        <w:lastRenderedPageBreak/>
        <w:drawing>
          <wp:inline distT="0" distB="0" distL="0" distR="0" wp14:anchorId="5B9430C6" wp14:editId="5F1FF6E4">
            <wp:extent cx="3108960" cy="2331721"/>
            <wp:effectExtent l="0" t="0" r="0" b="0"/>
            <wp:docPr id="4" name="Paveikslėlis 4" descr="D:\DCIM\101CANON\IMG_9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1CANON\IMG_97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730" cy="233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0945B" w14:textId="77777777" w:rsidR="00B11EA1" w:rsidRDefault="00B11EA1" w:rsidP="00B11EA1">
      <w:pPr>
        <w:pStyle w:val="NormalWeb"/>
      </w:pPr>
      <w:r>
        <w:rPr>
          <w:noProof/>
        </w:rPr>
        <w:drawing>
          <wp:inline distT="0" distB="0" distL="0" distR="0" wp14:anchorId="684F764C" wp14:editId="4B7A29E9">
            <wp:extent cx="4053840" cy="3040380"/>
            <wp:effectExtent l="0" t="7620" r="0" b="0"/>
            <wp:docPr id="5" name="Paveikslėlis 5" descr="D:\DCIM\101CANON\IMG_9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CIM\101CANON\IMG_97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50527" cy="30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817C4" w14:textId="77777777" w:rsidR="00B11EA1" w:rsidRPr="003D1598" w:rsidRDefault="0020206B" w:rsidP="003D1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Ši knyga ypatinga ir tuo, kad turi du knygos ženklus – ekslibrisus, kurių paskirtis buvo pažymėti knygos savininką, o vėliau išplėtota kaip meno objektas. Pirmas ekslibrisas – paprasčiausias įrašas ranka, naudojant šį terminą. Antrasis jau spaudinys, knygos viršelio viduje-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Francheli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Gramatica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Leale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 - liudija, kad priklausė Italijos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Ligurijos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regione,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Pietroje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esančiuose </w:t>
      </w:r>
      <w:proofErr w:type="spellStart"/>
      <w:r w:rsidRPr="0020206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Leale-Franchelli</w:t>
      </w:r>
      <w:proofErr w:type="spellEnd"/>
      <w:r w:rsidRPr="0020206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didikų giminės rūmų bibliotekai.</w:t>
      </w:r>
    </w:p>
    <w:sectPr w:rsidR="00B11EA1" w:rsidRPr="003D15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98"/>
    <w:rsid w:val="000316A3"/>
    <w:rsid w:val="0007726E"/>
    <w:rsid w:val="001629E2"/>
    <w:rsid w:val="001B5A2C"/>
    <w:rsid w:val="0020206B"/>
    <w:rsid w:val="002573BB"/>
    <w:rsid w:val="002D00C2"/>
    <w:rsid w:val="003D1598"/>
    <w:rsid w:val="005C30C1"/>
    <w:rsid w:val="005C678A"/>
    <w:rsid w:val="009473D8"/>
    <w:rsid w:val="00B11EA1"/>
    <w:rsid w:val="00BD688C"/>
    <w:rsid w:val="00C2068A"/>
    <w:rsid w:val="00C55E45"/>
    <w:rsid w:val="00CB4A64"/>
    <w:rsid w:val="00D005AE"/>
    <w:rsid w:val="00D1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13FB"/>
  <w15:docId w15:val="{301E47A9-F842-4A29-980C-BE197A1C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link w:val="Heading2Char"/>
    <w:uiPriority w:val="9"/>
    <w:qFormat/>
    <w:rsid w:val="003D1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59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3D159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pubdata">
    <w:name w:val="pubdata"/>
    <w:basedOn w:val="DefaultParagraphFont"/>
    <w:rsid w:val="003D1598"/>
  </w:style>
  <w:style w:type="paragraph" w:styleId="BalloonText">
    <w:name w:val="Balloon Text"/>
    <w:basedOn w:val="Normal"/>
    <w:link w:val="BalloonTextChar"/>
    <w:uiPriority w:val="99"/>
    <w:semiHidden/>
    <w:unhideWhenUsed/>
    <w:rsid w:val="00BD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5C91D-B9DF-4BF7-BC86-4E785940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2458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</dc:creator>
  <cp:lastModifiedBy>Indrė Karčiauskaitė</cp:lastModifiedBy>
  <cp:revision>4</cp:revision>
  <dcterms:created xsi:type="dcterms:W3CDTF">2026-03-16T14:02:00Z</dcterms:created>
  <dcterms:modified xsi:type="dcterms:W3CDTF">2026-03-26T08:43:00Z</dcterms:modified>
</cp:coreProperties>
</file>