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9D14" w14:textId="77777777" w:rsidR="00CB5626" w:rsidRPr="00CB5626" w:rsidRDefault="00CB5626" w:rsidP="00CB5626">
      <w:pPr>
        <w:spacing w:line="276" w:lineRule="auto"/>
        <w:ind w:left="5812" w:right="581"/>
        <w:rPr>
          <w:rFonts w:ascii="Arial" w:hAnsi="Arial"/>
        </w:rPr>
      </w:pPr>
      <w:r w:rsidRPr="00CB5626">
        <w:rPr>
          <w:rFonts w:ascii="Arial" w:hAnsi="Arial"/>
        </w:rPr>
        <w:t>APPROVED</w:t>
      </w:r>
    </w:p>
    <w:p w14:paraId="50A7F12A" w14:textId="77777777" w:rsidR="00CB5626" w:rsidRPr="00CB5626" w:rsidRDefault="00CB5626" w:rsidP="00CB5626">
      <w:pPr>
        <w:spacing w:line="276" w:lineRule="auto"/>
        <w:ind w:left="5812" w:right="581"/>
        <w:rPr>
          <w:rFonts w:ascii="Arial" w:hAnsi="Arial"/>
        </w:rPr>
      </w:pPr>
      <w:r w:rsidRPr="00CB5626">
        <w:rPr>
          <w:rFonts w:ascii="Arial" w:hAnsi="Arial"/>
        </w:rPr>
        <w:t>Mykolas Romeris University</w:t>
      </w:r>
    </w:p>
    <w:p w14:paraId="32BBF391" w14:textId="77777777" w:rsidR="00621A6D" w:rsidRDefault="00CB5626" w:rsidP="00621A6D">
      <w:pPr>
        <w:spacing w:line="276" w:lineRule="auto"/>
        <w:ind w:left="5812" w:right="581"/>
        <w:rPr>
          <w:rFonts w:ascii="Arial" w:hAnsi="Arial"/>
        </w:rPr>
      </w:pPr>
      <w:proofErr w:type="spellStart"/>
      <w:r>
        <w:rPr>
          <w:rFonts w:ascii="Arial" w:hAnsi="Arial"/>
        </w:rPr>
        <w:t>Rectors</w:t>
      </w:r>
      <w:proofErr w:type="spellEnd"/>
      <w:r w:rsidRPr="00CB5626">
        <w:rPr>
          <w:rFonts w:ascii="Arial" w:hAnsi="Arial"/>
        </w:rPr>
        <w:t xml:space="preserve">  </w:t>
      </w:r>
      <w:proofErr w:type="spellStart"/>
      <w:r>
        <w:rPr>
          <w:rFonts w:ascii="Arial" w:hAnsi="Arial"/>
        </w:rPr>
        <w:t>Order</w:t>
      </w:r>
      <w:proofErr w:type="spellEnd"/>
      <w:r>
        <w:rPr>
          <w:rFonts w:ascii="Arial" w:hAnsi="Arial"/>
        </w:rPr>
        <w:t xml:space="preserve"> </w:t>
      </w:r>
      <w:proofErr w:type="spellStart"/>
      <w:r w:rsidR="00621A6D" w:rsidRPr="00CB5626">
        <w:rPr>
          <w:rFonts w:ascii="Arial" w:hAnsi="Arial"/>
        </w:rPr>
        <w:t>No</w:t>
      </w:r>
      <w:proofErr w:type="spellEnd"/>
      <w:r w:rsidR="00621A6D" w:rsidRPr="00CB5626">
        <w:rPr>
          <w:rFonts w:ascii="Arial" w:hAnsi="Arial"/>
        </w:rPr>
        <w:t xml:space="preserve">. </w:t>
      </w:r>
      <w:r w:rsidR="00621A6D">
        <w:rPr>
          <w:rFonts w:ascii="Arial" w:hAnsi="Arial"/>
        </w:rPr>
        <w:t>I</w:t>
      </w:r>
      <w:r w:rsidR="00621A6D" w:rsidRPr="00CB5626">
        <w:rPr>
          <w:rFonts w:ascii="Arial" w:hAnsi="Arial"/>
        </w:rPr>
        <w:t>-</w:t>
      </w:r>
      <w:r w:rsidR="00621A6D">
        <w:rPr>
          <w:rFonts w:ascii="Arial" w:hAnsi="Arial"/>
        </w:rPr>
        <w:t>194</w:t>
      </w:r>
    </w:p>
    <w:p w14:paraId="462E26F7" w14:textId="073AD99F" w:rsidR="002C3DF9" w:rsidRDefault="00CB5626" w:rsidP="00CB5626">
      <w:pPr>
        <w:spacing w:line="276" w:lineRule="auto"/>
        <w:ind w:left="5812" w:right="581"/>
        <w:rPr>
          <w:rFonts w:ascii="Arial" w:hAnsi="Arial"/>
        </w:rPr>
      </w:pPr>
      <w:proofErr w:type="spellStart"/>
      <w:r w:rsidRPr="00CB5626">
        <w:rPr>
          <w:rFonts w:ascii="Arial" w:hAnsi="Arial"/>
        </w:rPr>
        <w:t>February</w:t>
      </w:r>
      <w:proofErr w:type="spellEnd"/>
      <w:r w:rsidRPr="00CB5626">
        <w:rPr>
          <w:rFonts w:ascii="Arial" w:hAnsi="Arial"/>
        </w:rPr>
        <w:t xml:space="preserve"> 2025</w:t>
      </w:r>
      <w:r>
        <w:rPr>
          <w:rFonts w:ascii="Arial" w:hAnsi="Arial"/>
        </w:rPr>
        <w:t xml:space="preserve"> </w:t>
      </w:r>
      <w:r w:rsidR="00822BE7">
        <w:rPr>
          <w:rFonts w:ascii="Arial" w:hAnsi="Arial"/>
        </w:rPr>
        <w:t xml:space="preserve">June 23 </w:t>
      </w:r>
    </w:p>
    <w:p w14:paraId="01924B1D" w14:textId="77777777" w:rsidR="00CB5626" w:rsidRDefault="00CB5626" w:rsidP="00CB5626">
      <w:pPr>
        <w:spacing w:line="276" w:lineRule="auto"/>
        <w:ind w:left="5812" w:right="581"/>
        <w:rPr>
          <w:rFonts w:ascii="Arial" w:hAnsi="Arial"/>
        </w:rPr>
      </w:pPr>
    </w:p>
    <w:p w14:paraId="153CF8A8" w14:textId="76F980A1" w:rsidR="00733EF7" w:rsidRPr="00733EF7" w:rsidRDefault="00733EF7" w:rsidP="00DF01F2">
      <w:pPr>
        <w:spacing w:line="276" w:lineRule="auto"/>
        <w:ind w:right="581"/>
        <w:jc w:val="center"/>
        <w:rPr>
          <w:rFonts w:ascii="Arial" w:hAnsi="Arial"/>
          <w:b/>
          <w:bCs/>
        </w:rPr>
      </w:pPr>
      <w:r w:rsidRPr="00733EF7">
        <w:rPr>
          <w:rFonts w:ascii="Arial" w:hAnsi="Arial"/>
          <w:b/>
          <w:bCs/>
        </w:rPr>
        <w:t>REGULATIONS OF THE MYKOLAS ROMERIS UNIVERSITY RESEARCH ETHICAL REVIEW BOARD</w:t>
      </w:r>
    </w:p>
    <w:p w14:paraId="4ED18822" w14:textId="77777777" w:rsidR="00733EF7" w:rsidRPr="00D6567C" w:rsidRDefault="00733EF7" w:rsidP="00DF01F2">
      <w:pPr>
        <w:spacing w:line="276" w:lineRule="auto"/>
        <w:ind w:right="581"/>
        <w:jc w:val="center"/>
        <w:rPr>
          <w:rFonts w:ascii="Arial" w:hAnsi="Arial"/>
        </w:rPr>
      </w:pPr>
    </w:p>
    <w:p w14:paraId="6694BEDE" w14:textId="3921F5DB" w:rsidR="00733EF7" w:rsidRDefault="00733EF7" w:rsidP="00DF01F2">
      <w:pPr>
        <w:pStyle w:val="NormalWeb"/>
        <w:numPr>
          <w:ilvl w:val="0"/>
          <w:numId w:val="12"/>
        </w:numPr>
        <w:suppressAutoHyphens/>
        <w:spacing w:before="0" w:beforeAutospacing="0" w:after="0" w:afterAutospacing="0" w:line="276" w:lineRule="auto"/>
        <w:ind w:left="0" w:firstLine="0"/>
        <w:jc w:val="center"/>
        <w:rPr>
          <w:rFonts w:ascii="Arial" w:hAnsi="Arial" w:cs="Arial"/>
          <w:b/>
          <w:bCs/>
        </w:rPr>
      </w:pPr>
      <w:r w:rsidRPr="00733EF7">
        <w:rPr>
          <w:rFonts w:ascii="Arial" w:hAnsi="Arial" w:cs="Arial"/>
          <w:b/>
          <w:bCs/>
        </w:rPr>
        <w:t>GENERAL PROVISIONS</w:t>
      </w:r>
    </w:p>
    <w:p w14:paraId="7326F8C1" w14:textId="77777777" w:rsidR="00733EF7" w:rsidRPr="00733EF7" w:rsidRDefault="00733EF7" w:rsidP="00DF01F2">
      <w:pPr>
        <w:pStyle w:val="NormalWeb"/>
        <w:suppressAutoHyphens/>
        <w:spacing w:before="0" w:beforeAutospacing="0" w:after="0" w:afterAutospacing="0" w:line="276" w:lineRule="auto"/>
        <w:ind w:left="426"/>
        <w:rPr>
          <w:rFonts w:ascii="Arial" w:hAnsi="Arial" w:cs="Arial"/>
          <w:b/>
          <w:bCs/>
        </w:rPr>
      </w:pPr>
    </w:p>
    <w:p w14:paraId="736B3079" w14:textId="28806239"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 xml:space="preserve">The Regulations of the Mykolas </w:t>
      </w:r>
      <w:proofErr w:type="spellStart"/>
      <w:r w:rsidRPr="00733EF7">
        <w:rPr>
          <w:rFonts w:ascii="Arial" w:hAnsi="Arial" w:cs="Arial"/>
        </w:rPr>
        <w:t>Romeris</w:t>
      </w:r>
      <w:proofErr w:type="spellEnd"/>
      <w:r w:rsidRPr="00733EF7">
        <w:rPr>
          <w:rFonts w:ascii="Arial" w:hAnsi="Arial" w:cs="Arial"/>
        </w:rPr>
        <w:t xml:space="preserve"> University Research Ethical Review Board (hereinafter referred to as the Regulations) establish the objectives, functions, composition, and work organization procedure of the Mykolas </w:t>
      </w:r>
      <w:proofErr w:type="spellStart"/>
      <w:r w:rsidRPr="00733EF7">
        <w:rPr>
          <w:rFonts w:ascii="Arial" w:hAnsi="Arial" w:cs="Arial"/>
        </w:rPr>
        <w:t>Romeris</w:t>
      </w:r>
      <w:proofErr w:type="spellEnd"/>
      <w:r w:rsidRPr="00733EF7">
        <w:rPr>
          <w:rFonts w:ascii="Arial" w:hAnsi="Arial" w:cs="Arial"/>
        </w:rPr>
        <w:t xml:space="preserve"> University (hereinafter referred to as the University) Research Ethical Review Board (hereinafter referred to as the Board).</w:t>
      </w:r>
    </w:p>
    <w:p w14:paraId="722F8C63" w14:textId="1170C691"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 xml:space="preserve">The Regulations have been prepared in accordance with the Guidelines for </w:t>
      </w:r>
      <w:r w:rsidR="00833F55">
        <w:rPr>
          <w:rFonts w:ascii="Arial" w:hAnsi="Arial" w:cs="Arial"/>
        </w:rPr>
        <w:t>Ethical Review</w:t>
      </w:r>
      <w:r w:rsidRPr="00733EF7">
        <w:rPr>
          <w:rFonts w:ascii="Arial" w:hAnsi="Arial" w:cs="Arial"/>
        </w:rPr>
        <w:t xml:space="preserve"> (hereinafter referred to as the Guidelines), approved by Order No. V-16 of the Ombudsperson for Academic Ethics and Procedures of the Republic of Lithuania on June 6, 2022.</w:t>
      </w:r>
    </w:p>
    <w:p w14:paraId="2529AAAD" w14:textId="0A28A45D"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In its activities, the Board follows the Law on Higher Education and Research of the Republic of Lithuania, the Guidelines, the Guidelines on Publication Ethics approved by the Lithuanian University Rectors' Conference on February 8, 2019, the University Code of Academic Ethics, and other legal acts regulating the conduct of research in Lithuania, as well as documents of international organizations, such as the European Code of Conduct for Research Integrity, the European Charter for Researchers, etc. If scientific research is to be conducted in a foreign country, the Board also takes into account the laws or other legal acts of that country.</w:t>
      </w:r>
    </w:p>
    <w:p w14:paraId="4A857A4D" w14:textId="54364559"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The main function of the Board is to assess the compliance of planned scientific research with research ethics before the research begins.</w:t>
      </w:r>
    </w:p>
    <w:p w14:paraId="015E289D" w14:textId="1B1F2E8F" w:rsid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 xml:space="preserve">When performing an assessment of compliance with research ethics, the Board seeks to: </w:t>
      </w:r>
    </w:p>
    <w:p w14:paraId="7A60E4D8" w14:textId="5148CBD6"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5.1. ensure the compliance of research in the fields of science represented at the University with research ethics</w:t>
      </w:r>
      <w:r>
        <w:rPr>
          <w:rFonts w:ascii="Arial" w:hAnsi="Arial" w:cs="Arial"/>
        </w:rPr>
        <w:t>;</w:t>
      </w:r>
    </w:p>
    <w:p w14:paraId="41D721A3" w14:textId="5995DEE5"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5.2. ensure adherence to high standards of academic ethics values and principles</w:t>
      </w:r>
      <w:r>
        <w:rPr>
          <w:rFonts w:ascii="Arial" w:hAnsi="Arial" w:cs="Arial"/>
        </w:rPr>
        <w:t>;</w:t>
      </w:r>
    </w:p>
    <w:p w14:paraId="203E5D78" w14:textId="6594EDF3"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5.3. assist University scientists, researchers, and doctoral students (hereinafter referred to as researchers) in properly adhering to research ethics values and principles while planning their research, thereby ensuring the quality of research performance</w:t>
      </w:r>
      <w:r>
        <w:rPr>
          <w:rFonts w:ascii="Arial" w:hAnsi="Arial" w:cs="Arial"/>
        </w:rPr>
        <w:t>;</w:t>
      </w:r>
    </w:p>
    <w:p w14:paraId="1675A4C9" w14:textId="70C0C4A7"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5.4. ensure the rights, dignity, and well-being of persons participating in scientific research</w:t>
      </w:r>
      <w:r>
        <w:rPr>
          <w:rFonts w:ascii="Arial" w:hAnsi="Arial" w:cs="Arial"/>
        </w:rPr>
        <w:t>;</w:t>
      </w:r>
    </w:p>
    <w:p w14:paraId="2D601DE8" w14:textId="2E453ACC"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lastRenderedPageBreak/>
        <w:t>5.5. assist University researchers in properly handling data, including personal data</w:t>
      </w:r>
      <w:r>
        <w:rPr>
          <w:rFonts w:ascii="Arial" w:hAnsi="Arial" w:cs="Arial"/>
        </w:rPr>
        <w:t>;</w:t>
      </w:r>
    </w:p>
    <w:p w14:paraId="4A9E2737" w14:textId="659717F2" w:rsid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 xml:space="preserve">5.6. mitigate risks related to research </w:t>
      </w:r>
      <w:r w:rsidR="00DF01F2">
        <w:rPr>
          <w:rFonts w:ascii="Arial" w:hAnsi="Arial" w:cs="Arial"/>
        </w:rPr>
        <w:t>participants</w:t>
      </w:r>
      <w:r w:rsidRPr="00733EF7">
        <w:rPr>
          <w:rFonts w:ascii="Arial" w:hAnsi="Arial" w:cs="Arial"/>
        </w:rPr>
        <w:t xml:space="preserve">, researchers, and third </w:t>
      </w:r>
      <w:proofErr w:type="gramStart"/>
      <w:r w:rsidRPr="00733EF7">
        <w:rPr>
          <w:rFonts w:ascii="Arial" w:hAnsi="Arial" w:cs="Arial"/>
        </w:rPr>
        <w:t>parties;</w:t>
      </w:r>
      <w:proofErr w:type="gramEnd"/>
      <w:r w:rsidRPr="00733EF7">
        <w:rPr>
          <w:rFonts w:ascii="Arial" w:hAnsi="Arial" w:cs="Arial"/>
        </w:rPr>
        <w:t xml:space="preserve"> </w:t>
      </w:r>
    </w:p>
    <w:p w14:paraId="7DB1B270" w14:textId="6F94F0B4" w:rsidR="00733EF7" w:rsidRPr="00733EF7" w:rsidRDefault="00733EF7" w:rsidP="00DF01F2">
      <w:pPr>
        <w:pStyle w:val="NormalWeb"/>
        <w:tabs>
          <w:tab w:val="left" w:pos="993"/>
        </w:tabs>
        <w:suppressAutoHyphens/>
        <w:spacing w:before="0" w:beforeAutospacing="0" w:after="0" w:afterAutospacing="0" w:line="276" w:lineRule="auto"/>
        <w:ind w:right="616" w:firstLine="567"/>
        <w:jc w:val="both"/>
        <w:rPr>
          <w:rFonts w:ascii="Arial" w:hAnsi="Arial" w:cs="Arial"/>
        </w:rPr>
      </w:pPr>
      <w:r w:rsidRPr="00733EF7">
        <w:rPr>
          <w:rFonts w:ascii="Arial" w:hAnsi="Arial" w:cs="Arial"/>
        </w:rPr>
        <w:t>5.7. increase public trust in the academic community conducting scientific research.</w:t>
      </w:r>
    </w:p>
    <w:p w14:paraId="2517640E" w14:textId="4EAF0086"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The Board does not assess the quality of scientific research.</w:t>
      </w:r>
    </w:p>
    <w:p w14:paraId="0D66402F" w14:textId="2DC58E2A"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 xml:space="preserve">The Board assesses the ethical compliance of only those scientific research projects that have not yet begun implementation but are fully planned. An exception applies to </w:t>
      </w:r>
      <w:r w:rsidR="00DF01F2">
        <w:rPr>
          <w:rFonts w:ascii="Arial" w:hAnsi="Arial" w:cs="Arial"/>
        </w:rPr>
        <w:t>longitudinal</w:t>
      </w:r>
      <w:r w:rsidRPr="00733EF7">
        <w:rPr>
          <w:rFonts w:ascii="Arial" w:hAnsi="Arial" w:cs="Arial"/>
        </w:rPr>
        <w:t xml:space="preserve"> research started before the commencement of the Board's activities; however, in the case of such research, only the compliance of future stages of the continuous research with research ethics is assessed.</w:t>
      </w:r>
    </w:p>
    <w:p w14:paraId="26B90F69" w14:textId="26B89E1A"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The Board assesses only the scientific research of University researchers. The Board does not assess the compliance with research ethics of scientific research conducted by students of Bachelor’s and Master’s study cycles.</w:t>
      </w:r>
    </w:p>
    <w:p w14:paraId="2490FBCC" w14:textId="139613AE"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The Board assesses only research that involves humans and/or animals, and research in which personal data is collected.</w:t>
      </w:r>
    </w:p>
    <w:p w14:paraId="691893FA" w14:textId="7F7DB194"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In cases where a permit is required for the research (or part thereof) in accordance with the Law on Ethics of Biomedical Research of the Republic of Lithuania, the researcher must obtain it before applying to the Board. If the research plans not only to include animals but also to perform experiments/testing on them, the researcher must obtain a permit from the State Food and Veterinary Service in accordance with the procedure established by legal acts before applying to the Board.</w:t>
      </w:r>
    </w:p>
    <w:p w14:paraId="6EF1D9F9" w14:textId="141283E3"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If necessary, the Board cooperates with other institutions, taking into account their areas of competence (e.g., regarding biomedical research – with the Lithuanian Bioethics Committee and regional biomedical research ethics committees; regarding research ethics and academic ethics and procedures related to their implementation – with the Office of the Ombudsperson for Academic Ethics and Procedures of the Republic of Lithuania; regarding equal opportunities – with the Office of the Equal Opportunities Ombudsperson of the Republic of Lithuania; regarding data protection – with the State Data Protection Inspectorate and the Office of the Inspector of Journalist Ethics, etc.), regarding the application of operational principles and/or complex cases.</w:t>
      </w:r>
    </w:p>
    <w:p w14:paraId="4F4424D6" w14:textId="255A5E87"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All information regarding planned research submitted for the Board’s assessment is considered confidential.</w:t>
      </w:r>
    </w:p>
    <w:p w14:paraId="0445F77E" w14:textId="16E92A53" w:rsidR="00733EF7" w:rsidRPr="00733EF7" w:rsidRDefault="00733EF7" w:rsidP="00DF01F2">
      <w:pPr>
        <w:pStyle w:val="NormalWeb"/>
        <w:numPr>
          <w:ilvl w:val="1"/>
          <w:numId w:val="12"/>
        </w:numPr>
        <w:tabs>
          <w:tab w:val="left" w:pos="993"/>
        </w:tabs>
        <w:suppressAutoHyphens/>
        <w:spacing w:before="0" w:beforeAutospacing="0" w:after="0" w:afterAutospacing="0" w:line="276" w:lineRule="auto"/>
        <w:ind w:left="0" w:right="616" w:firstLine="567"/>
        <w:jc w:val="both"/>
        <w:rPr>
          <w:rFonts w:ascii="Arial" w:hAnsi="Arial" w:cs="Arial"/>
        </w:rPr>
      </w:pPr>
      <w:r w:rsidRPr="00733EF7">
        <w:rPr>
          <w:rFonts w:ascii="Arial" w:hAnsi="Arial" w:cs="Arial"/>
        </w:rPr>
        <w:t>The Regulations and information about Board members are published on the University website in Lithuanian and English.</w:t>
      </w:r>
    </w:p>
    <w:p w14:paraId="42E1D614" w14:textId="77777777" w:rsidR="009A49C9" w:rsidRDefault="009A49C9" w:rsidP="00DF01F2">
      <w:pPr>
        <w:tabs>
          <w:tab w:val="left" w:pos="1276"/>
        </w:tabs>
        <w:spacing w:line="276" w:lineRule="auto"/>
        <w:ind w:right="616"/>
        <w:jc w:val="both"/>
        <w:rPr>
          <w:rFonts w:ascii="Arial" w:hAnsi="Arial"/>
          <w:b/>
          <w:bCs/>
        </w:rPr>
      </w:pPr>
      <w:bookmarkStart w:id="0" w:name="_Hlk97035514"/>
    </w:p>
    <w:p w14:paraId="3490DEE0" w14:textId="06A5F475" w:rsidR="009A49C9" w:rsidRDefault="009A49C9" w:rsidP="00DF01F2">
      <w:pPr>
        <w:tabs>
          <w:tab w:val="left" w:pos="1276"/>
        </w:tabs>
        <w:spacing w:line="276" w:lineRule="auto"/>
        <w:ind w:right="616"/>
        <w:jc w:val="center"/>
        <w:rPr>
          <w:rFonts w:ascii="Arial" w:hAnsi="Arial"/>
          <w:b/>
          <w:bCs/>
        </w:rPr>
      </w:pPr>
      <w:r>
        <w:rPr>
          <w:rFonts w:ascii="Arial" w:hAnsi="Arial"/>
          <w:b/>
          <w:bCs/>
        </w:rPr>
        <w:t xml:space="preserve">II. </w:t>
      </w:r>
      <w:r w:rsidRPr="009A49C9">
        <w:rPr>
          <w:rFonts w:ascii="Arial" w:hAnsi="Arial"/>
          <w:b/>
          <w:bCs/>
        </w:rPr>
        <w:t>PROCEDURE FOR THE FORMATION OF THE BOARD</w:t>
      </w:r>
    </w:p>
    <w:p w14:paraId="38DA4F47" w14:textId="77777777" w:rsidR="009A49C9" w:rsidRDefault="009A49C9" w:rsidP="00DF01F2">
      <w:pPr>
        <w:tabs>
          <w:tab w:val="left" w:pos="1276"/>
        </w:tabs>
        <w:spacing w:line="276" w:lineRule="auto"/>
        <w:ind w:right="616"/>
        <w:jc w:val="both"/>
        <w:rPr>
          <w:rFonts w:ascii="Arial" w:hAnsi="Arial"/>
          <w:b/>
          <w:bCs/>
        </w:rPr>
      </w:pPr>
    </w:p>
    <w:p w14:paraId="6EFF11D4" w14:textId="3A816AB6" w:rsidR="009A49C9" w:rsidRPr="009A49C9"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9A49C9">
        <w:rPr>
          <w:rFonts w:ascii="Arial" w:hAnsi="Arial"/>
          <w:lang w:val="en-US"/>
        </w:rPr>
        <w:t xml:space="preserve">The Board shall be composed of at least 12 (twelve) members possessing diverse and the broadest possible academic and/or professional experience required </w:t>
      </w:r>
      <w:r w:rsidRPr="009A49C9">
        <w:rPr>
          <w:rFonts w:ascii="Arial" w:hAnsi="Arial"/>
          <w:lang w:val="en-US"/>
        </w:rPr>
        <w:lastRenderedPageBreak/>
        <w:t>to assess the compliance of scientific research planned at the University with ethics as comprehensively and appropriately as possible.</w:t>
      </w:r>
    </w:p>
    <w:p w14:paraId="254400B8" w14:textId="77777777" w:rsidR="000D7DCC"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9A49C9">
        <w:rPr>
          <w:rFonts w:ascii="Arial" w:hAnsi="Arial"/>
          <w:lang w:val="en-US"/>
        </w:rPr>
        <w:t xml:space="preserve">Generally, University lecturers and/or researchers who have worked at the University for not less than 3 (three) years holding at least a 0.5 full-time equivalent (FTE) position are appointed as Board members. Representation of different fields of science must be ensured within the Board. </w:t>
      </w:r>
    </w:p>
    <w:p w14:paraId="41AABFA5" w14:textId="4444FA52" w:rsidR="009A49C9" w:rsidRPr="000D7DCC" w:rsidRDefault="009A49C9" w:rsidP="000D7DCC">
      <w:pPr>
        <w:tabs>
          <w:tab w:val="left" w:pos="993"/>
        </w:tabs>
        <w:spacing w:line="276" w:lineRule="auto"/>
        <w:ind w:right="616"/>
        <w:jc w:val="both"/>
        <w:rPr>
          <w:rFonts w:ascii="Arial" w:hAnsi="Arial"/>
          <w:i/>
          <w:iCs/>
          <w:sz w:val="20"/>
          <w:szCs w:val="20"/>
          <w:lang w:val="en-US"/>
        </w:rPr>
      </w:pPr>
      <w:r w:rsidRPr="00606360">
        <w:rPr>
          <w:rFonts w:ascii="Arial" w:hAnsi="Arial"/>
          <w:i/>
          <w:iCs/>
          <w:sz w:val="20"/>
          <w:szCs w:val="20"/>
          <w:lang w:val="en-US"/>
        </w:rPr>
        <w:t xml:space="preserve">Item amended by: Order No. 1I-216 of the Rector of Mykolas </w:t>
      </w:r>
      <w:proofErr w:type="spellStart"/>
      <w:r w:rsidRPr="00606360">
        <w:rPr>
          <w:rFonts w:ascii="Arial" w:hAnsi="Arial"/>
          <w:i/>
          <w:iCs/>
          <w:sz w:val="20"/>
          <w:szCs w:val="20"/>
          <w:lang w:val="en-US"/>
        </w:rPr>
        <w:t>Romeris</w:t>
      </w:r>
      <w:proofErr w:type="spellEnd"/>
      <w:r w:rsidRPr="00606360">
        <w:rPr>
          <w:rFonts w:ascii="Arial" w:hAnsi="Arial"/>
          <w:i/>
          <w:iCs/>
          <w:sz w:val="20"/>
          <w:szCs w:val="20"/>
          <w:lang w:val="en-US"/>
        </w:rPr>
        <w:t xml:space="preserve"> University of July 8, 2025.</w:t>
      </w:r>
    </w:p>
    <w:p w14:paraId="2CE6AF1C" w14:textId="7EF2C2D4" w:rsidR="009A49C9" w:rsidRPr="009A49C9"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9A49C9">
        <w:rPr>
          <w:rFonts w:ascii="Arial" w:hAnsi="Arial"/>
          <w:lang w:val="en-US"/>
        </w:rPr>
        <w:t>The Board is formed and approved by the Rector of the University. Upon formation of the Board, the Chair of the Board is appointed from among its members. The Rector of the University shall assign the performance of the functions of the Board Secretary to a specific University employee by order. The Board Secretary is not a member of the Board.</w:t>
      </w:r>
    </w:p>
    <w:p w14:paraId="1995650C" w14:textId="14791C9D" w:rsidR="009A49C9" w:rsidRPr="009A49C9"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9A49C9">
        <w:rPr>
          <w:rFonts w:ascii="Arial" w:hAnsi="Arial"/>
          <w:lang w:val="en-US"/>
        </w:rPr>
        <w:t>Board members are appointed for a term of 3 (three) years and may hold office for no more than 2 (two) consecutive terms, regardless of whether they served as a Board member for the full duration of a term.</w:t>
      </w:r>
    </w:p>
    <w:p w14:paraId="764F7F0E" w14:textId="77777777" w:rsidR="009A49C9" w:rsidRPr="009A49C9" w:rsidRDefault="009A49C9" w:rsidP="00DF01F2">
      <w:pPr>
        <w:pStyle w:val="ListParagraph"/>
        <w:numPr>
          <w:ilvl w:val="1"/>
          <w:numId w:val="12"/>
        </w:numPr>
        <w:tabs>
          <w:tab w:val="left" w:pos="993"/>
        </w:tabs>
        <w:spacing w:line="276" w:lineRule="auto"/>
        <w:ind w:left="0" w:right="616" w:firstLine="426"/>
        <w:jc w:val="both"/>
        <w:rPr>
          <w:rFonts w:ascii="Arial" w:hAnsi="Arial"/>
          <w:lang w:val="en-US"/>
        </w:rPr>
      </w:pPr>
      <w:r w:rsidRPr="009A49C9">
        <w:rPr>
          <w:rFonts w:ascii="Arial" w:hAnsi="Arial"/>
          <w:lang w:val="en-US"/>
        </w:rPr>
        <w:t xml:space="preserve">Only persons of impeccable reputation may be appointed as Board members. A person is not considered to be of impeccable reputation if they: </w:t>
      </w:r>
    </w:p>
    <w:p w14:paraId="17A734C0" w14:textId="77777777" w:rsidR="009A49C9" w:rsidRPr="009A49C9" w:rsidRDefault="009A49C9" w:rsidP="00DF01F2">
      <w:pPr>
        <w:pStyle w:val="ListParagraph"/>
        <w:tabs>
          <w:tab w:val="left" w:pos="993"/>
        </w:tabs>
        <w:spacing w:line="276" w:lineRule="auto"/>
        <w:ind w:left="0" w:right="616" w:firstLine="425"/>
        <w:jc w:val="both"/>
        <w:rPr>
          <w:rFonts w:ascii="Arial" w:hAnsi="Arial"/>
          <w:lang w:val="en-US"/>
        </w:rPr>
      </w:pPr>
      <w:r w:rsidRPr="009A49C9">
        <w:rPr>
          <w:rFonts w:ascii="Arial" w:hAnsi="Arial"/>
          <w:lang w:val="en-US"/>
        </w:rPr>
        <w:t xml:space="preserve">18.1. have violated academic ethics through their behavior and/or activities, and less than 10 years have passed since such a violation was established; </w:t>
      </w:r>
    </w:p>
    <w:p w14:paraId="03FD1988" w14:textId="77777777" w:rsidR="009A49C9" w:rsidRPr="009A49C9" w:rsidRDefault="009A49C9" w:rsidP="00DF01F2">
      <w:pPr>
        <w:pStyle w:val="ListParagraph"/>
        <w:tabs>
          <w:tab w:val="left" w:pos="993"/>
        </w:tabs>
        <w:spacing w:line="276" w:lineRule="auto"/>
        <w:ind w:left="0" w:right="616" w:firstLine="425"/>
        <w:jc w:val="both"/>
        <w:rPr>
          <w:rFonts w:ascii="Arial" w:hAnsi="Arial"/>
          <w:lang w:val="en-US"/>
        </w:rPr>
      </w:pPr>
      <w:r w:rsidRPr="009A49C9">
        <w:rPr>
          <w:rFonts w:ascii="Arial" w:hAnsi="Arial"/>
          <w:lang w:val="en-US"/>
        </w:rPr>
        <w:t xml:space="preserve">18.2. were dismissed from work or office, or lost the right to engage in certain activities due to non-compliance with the requirement of impeccable reputation raised in other laws or for a violation of behavioral (ethical) norms, and less than 4 years have passed since the day of dismissal or loss of the right to engage in certain activities; </w:t>
      </w:r>
    </w:p>
    <w:p w14:paraId="2F830CD2" w14:textId="77777777" w:rsidR="009A49C9" w:rsidRPr="009A49C9" w:rsidRDefault="009A49C9" w:rsidP="00DF01F2">
      <w:pPr>
        <w:pStyle w:val="ListParagraph"/>
        <w:tabs>
          <w:tab w:val="left" w:pos="993"/>
        </w:tabs>
        <w:spacing w:line="276" w:lineRule="auto"/>
        <w:ind w:left="0" w:right="616" w:firstLine="425"/>
        <w:jc w:val="both"/>
        <w:rPr>
          <w:rFonts w:ascii="Arial" w:hAnsi="Arial"/>
          <w:lang w:val="en-US"/>
        </w:rPr>
      </w:pPr>
      <w:r w:rsidRPr="009A49C9">
        <w:rPr>
          <w:rFonts w:ascii="Arial" w:hAnsi="Arial"/>
          <w:lang w:val="en-US"/>
        </w:rPr>
        <w:t xml:space="preserve">18.3. were dismissed or removed from appointed or elected office due to a breach of oath or pledge, or demeaning the name of an official, and less than 4 years have passed since the day of dismissal or removal from office; </w:t>
      </w:r>
    </w:p>
    <w:p w14:paraId="7BBC5861" w14:textId="77777777" w:rsidR="009A49C9" w:rsidRPr="009A49C9" w:rsidRDefault="009A49C9" w:rsidP="00DF01F2">
      <w:pPr>
        <w:pStyle w:val="ListParagraph"/>
        <w:tabs>
          <w:tab w:val="left" w:pos="993"/>
        </w:tabs>
        <w:spacing w:line="276" w:lineRule="auto"/>
        <w:ind w:left="0" w:right="616" w:firstLine="425"/>
        <w:jc w:val="both"/>
        <w:rPr>
          <w:rFonts w:ascii="Arial" w:hAnsi="Arial"/>
          <w:lang w:val="en-US"/>
        </w:rPr>
      </w:pPr>
      <w:r w:rsidRPr="009A49C9">
        <w:rPr>
          <w:rFonts w:ascii="Arial" w:hAnsi="Arial"/>
          <w:lang w:val="en-US"/>
        </w:rPr>
        <w:t xml:space="preserve">18.4. are or were a member of an organization banned by law, provided that less than 4 years have passed since the end of membership; </w:t>
      </w:r>
    </w:p>
    <w:p w14:paraId="575E42EA" w14:textId="2B6008B3" w:rsidR="009A49C9" w:rsidRPr="009A49C9" w:rsidRDefault="009A49C9" w:rsidP="00DF01F2">
      <w:pPr>
        <w:pStyle w:val="ListParagraph"/>
        <w:tabs>
          <w:tab w:val="left" w:pos="993"/>
        </w:tabs>
        <w:spacing w:line="276" w:lineRule="auto"/>
        <w:ind w:left="0" w:right="616" w:firstLine="425"/>
        <w:jc w:val="both"/>
        <w:rPr>
          <w:rFonts w:ascii="Arial" w:hAnsi="Arial"/>
          <w:lang w:val="en-US"/>
        </w:rPr>
      </w:pPr>
      <w:r w:rsidRPr="009A49C9">
        <w:rPr>
          <w:rFonts w:ascii="Arial" w:hAnsi="Arial"/>
          <w:lang w:val="en-US"/>
        </w:rPr>
        <w:t xml:space="preserve">18.5. abuse alcohol, psychotropic, narcotic, or other </w:t>
      </w:r>
      <w:r w:rsidR="000D7DCC">
        <w:rPr>
          <w:rFonts w:ascii="Arial" w:hAnsi="Arial"/>
          <w:lang w:val="en-US"/>
        </w:rPr>
        <w:t>psychoactive</w:t>
      </w:r>
      <w:r w:rsidRPr="009A49C9">
        <w:rPr>
          <w:rFonts w:ascii="Arial" w:hAnsi="Arial"/>
          <w:lang w:val="en-US"/>
        </w:rPr>
        <w:t xml:space="preserve"> substances.</w:t>
      </w:r>
    </w:p>
    <w:p w14:paraId="0A1ADBD2" w14:textId="5B41E094" w:rsidR="009A49C9" w:rsidRPr="00594035"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594035">
        <w:rPr>
          <w:rFonts w:ascii="Arial" w:hAnsi="Arial"/>
          <w:lang w:val="en-US"/>
        </w:rPr>
        <w:t xml:space="preserve">Persons who become Board members must sign </w:t>
      </w:r>
      <w:r w:rsidR="00606360">
        <w:rPr>
          <w:rFonts w:ascii="Arial" w:hAnsi="Arial"/>
          <w:lang w:val="en-US"/>
        </w:rPr>
        <w:t>the</w:t>
      </w:r>
      <w:r w:rsidR="00594035" w:rsidRPr="00594035">
        <w:rPr>
          <w:rFonts w:ascii="Arial" w:hAnsi="Arial"/>
          <w:lang w:val="en-US"/>
        </w:rPr>
        <w:t xml:space="preserve"> </w:t>
      </w:r>
      <w:r w:rsidR="00606360">
        <w:rPr>
          <w:rFonts w:ascii="Arial" w:hAnsi="Arial"/>
          <w:lang w:val="en-US"/>
        </w:rPr>
        <w:t>C</w:t>
      </w:r>
      <w:r w:rsidR="00606360" w:rsidRPr="00594035">
        <w:rPr>
          <w:rFonts w:ascii="Arial" w:hAnsi="Arial"/>
          <w:lang w:val="en-US"/>
        </w:rPr>
        <w:t xml:space="preserve">ommitment </w:t>
      </w:r>
      <w:r w:rsidR="00594035" w:rsidRPr="00594035">
        <w:rPr>
          <w:rFonts w:ascii="Arial" w:hAnsi="Arial"/>
          <w:lang w:val="en-US"/>
        </w:rPr>
        <w:t xml:space="preserve">to </w:t>
      </w:r>
      <w:r w:rsidR="00606360">
        <w:rPr>
          <w:rFonts w:ascii="Arial" w:hAnsi="Arial"/>
          <w:lang w:val="en-US"/>
        </w:rPr>
        <w:t>C</w:t>
      </w:r>
      <w:r w:rsidR="00606360" w:rsidRPr="00594035">
        <w:rPr>
          <w:rFonts w:ascii="Arial" w:hAnsi="Arial"/>
          <w:lang w:val="en-US"/>
        </w:rPr>
        <w:t xml:space="preserve">onfidentiality </w:t>
      </w:r>
      <w:r w:rsidRPr="00594035">
        <w:rPr>
          <w:rFonts w:ascii="Arial" w:hAnsi="Arial"/>
          <w:lang w:val="en-US"/>
        </w:rPr>
        <w:t xml:space="preserve">(Annex 1) and </w:t>
      </w:r>
      <w:r w:rsidR="00834347" w:rsidRPr="00834347">
        <w:rPr>
          <w:rFonts w:ascii="Arial" w:hAnsi="Arial"/>
          <w:lang w:val="en-US"/>
        </w:rPr>
        <w:t>Declaration of Impartiality</w:t>
      </w:r>
      <w:r w:rsidRPr="00594035">
        <w:rPr>
          <w:rFonts w:ascii="Arial" w:hAnsi="Arial"/>
          <w:lang w:val="en-US"/>
        </w:rPr>
        <w:t xml:space="preserve"> (Annex 2) of the established form. Board members must adhere to </w:t>
      </w:r>
      <w:r w:rsidR="000650F0">
        <w:rPr>
          <w:rFonts w:ascii="Arial" w:hAnsi="Arial"/>
          <w:lang w:val="en-US"/>
        </w:rPr>
        <w:t>T</w:t>
      </w:r>
      <w:r w:rsidR="000650F0" w:rsidRPr="00594035">
        <w:rPr>
          <w:rFonts w:ascii="Arial" w:hAnsi="Arial"/>
          <w:lang w:val="en-US"/>
        </w:rPr>
        <w:t xml:space="preserve">he </w:t>
      </w:r>
      <w:r w:rsidR="00606360">
        <w:rPr>
          <w:rFonts w:ascii="Arial" w:hAnsi="Arial"/>
          <w:lang w:val="en-US"/>
        </w:rPr>
        <w:t>C</w:t>
      </w:r>
      <w:r w:rsidR="00606360" w:rsidRPr="00594035">
        <w:rPr>
          <w:rFonts w:ascii="Arial" w:hAnsi="Arial"/>
          <w:lang w:val="en-US"/>
        </w:rPr>
        <w:t xml:space="preserve">ommitment </w:t>
      </w:r>
      <w:r w:rsidR="000650F0" w:rsidRPr="00594035">
        <w:rPr>
          <w:rFonts w:ascii="Arial" w:hAnsi="Arial"/>
          <w:lang w:val="en-US"/>
        </w:rPr>
        <w:t xml:space="preserve">to </w:t>
      </w:r>
      <w:r w:rsidR="00606360">
        <w:rPr>
          <w:rFonts w:ascii="Arial" w:hAnsi="Arial"/>
          <w:lang w:val="en-US"/>
        </w:rPr>
        <w:t>C</w:t>
      </w:r>
      <w:r w:rsidR="00606360" w:rsidRPr="00594035">
        <w:rPr>
          <w:rFonts w:ascii="Arial" w:hAnsi="Arial"/>
          <w:lang w:val="en-US"/>
        </w:rPr>
        <w:t xml:space="preserve">onfidentiality </w:t>
      </w:r>
      <w:r w:rsidRPr="00594035">
        <w:rPr>
          <w:rFonts w:ascii="Arial" w:hAnsi="Arial"/>
          <w:lang w:val="en-US"/>
        </w:rPr>
        <w:t>for 5 (five) years after the end of their term. The secrecy of personal data is protected indefinitely.</w:t>
      </w:r>
    </w:p>
    <w:p w14:paraId="3190550A" w14:textId="408C33A7" w:rsidR="009A49C9" w:rsidRPr="009A49C9" w:rsidRDefault="009A49C9" w:rsidP="00DF01F2">
      <w:pPr>
        <w:pStyle w:val="ListParagraph"/>
        <w:numPr>
          <w:ilvl w:val="1"/>
          <w:numId w:val="12"/>
        </w:numPr>
        <w:tabs>
          <w:tab w:val="left" w:pos="993"/>
        </w:tabs>
        <w:spacing w:line="276" w:lineRule="auto"/>
        <w:ind w:left="0" w:right="616" w:firstLine="425"/>
        <w:jc w:val="both"/>
        <w:rPr>
          <w:rFonts w:ascii="Arial" w:hAnsi="Arial"/>
          <w:lang w:val="en-US"/>
        </w:rPr>
      </w:pPr>
      <w:r w:rsidRPr="009A49C9">
        <w:rPr>
          <w:rFonts w:ascii="Arial" w:hAnsi="Arial"/>
          <w:lang w:val="en-US"/>
        </w:rPr>
        <w:t>In performing their duties, Board members are guided by the principles of respect for human rights, dignity, impartiality, transparency, and independence from the researcher, as well as other principles specified in the University Code of Academic Ethics and professional codes of ethics.</w:t>
      </w:r>
    </w:p>
    <w:p w14:paraId="131B19FB" w14:textId="684B04FB" w:rsidR="009A49C9" w:rsidRPr="002C3854" w:rsidRDefault="009A49C9" w:rsidP="00DF01F2">
      <w:pPr>
        <w:pStyle w:val="ListParagraph"/>
        <w:numPr>
          <w:ilvl w:val="1"/>
          <w:numId w:val="12"/>
        </w:numPr>
        <w:tabs>
          <w:tab w:val="left" w:pos="993"/>
        </w:tabs>
        <w:spacing w:line="276" w:lineRule="auto"/>
        <w:ind w:left="709" w:right="616"/>
        <w:jc w:val="both"/>
        <w:rPr>
          <w:rFonts w:ascii="Arial" w:hAnsi="Arial"/>
          <w:lang w:val="en-US"/>
        </w:rPr>
      </w:pPr>
      <w:r w:rsidRPr="002C3854">
        <w:rPr>
          <w:rFonts w:ascii="Arial" w:hAnsi="Arial"/>
          <w:lang w:val="en-US"/>
        </w:rPr>
        <w:t xml:space="preserve">The powers of a Board member shall terminate: </w:t>
      </w:r>
    </w:p>
    <w:p w14:paraId="0A9EED4E" w14:textId="77777777" w:rsidR="002C3854" w:rsidRDefault="009A49C9" w:rsidP="00DF01F2">
      <w:pPr>
        <w:pStyle w:val="ListParagraph"/>
        <w:tabs>
          <w:tab w:val="left" w:pos="993"/>
        </w:tabs>
        <w:spacing w:line="276" w:lineRule="auto"/>
        <w:ind w:left="0" w:right="616" w:firstLine="336"/>
        <w:jc w:val="both"/>
        <w:rPr>
          <w:rFonts w:ascii="Arial" w:hAnsi="Arial"/>
          <w:lang w:val="en-US"/>
        </w:rPr>
      </w:pPr>
      <w:r w:rsidRPr="009A49C9">
        <w:rPr>
          <w:rFonts w:ascii="Arial" w:hAnsi="Arial"/>
          <w:lang w:val="en-US"/>
        </w:rPr>
        <w:t xml:space="preserve">21.1. upon the expiration of their term; </w:t>
      </w:r>
    </w:p>
    <w:p w14:paraId="1B68B4E4" w14:textId="1AF04F7E" w:rsidR="002C3854" w:rsidRDefault="009A49C9" w:rsidP="00DF01F2">
      <w:pPr>
        <w:pStyle w:val="ListParagraph"/>
        <w:tabs>
          <w:tab w:val="left" w:pos="993"/>
        </w:tabs>
        <w:spacing w:line="276" w:lineRule="auto"/>
        <w:ind w:left="0" w:right="616" w:firstLine="336"/>
        <w:jc w:val="both"/>
        <w:rPr>
          <w:rFonts w:ascii="Arial" w:hAnsi="Arial"/>
          <w:lang w:val="en-US"/>
        </w:rPr>
      </w:pPr>
      <w:r w:rsidRPr="009A49C9">
        <w:rPr>
          <w:rFonts w:ascii="Arial" w:hAnsi="Arial"/>
          <w:lang w:val="en-US"/>
        </w:rPr>
        <w:t xml:space="preserve">21.2. upon the termination of their employment relationship with the University; </w:t>
      </w:r>
    </w:p>
    <w:p w14:paraId="3BF2FD0C" w14:textId="77777777" w:rsidR="002C3854" w:rsidRDefault="009A49C9" w:rsidP="00DF01F2">
      <w:pPr>
        <w:pStyle w:val="ListParagraph"/>
        <w:tabs>
          <w:tab w:val="left" w:pos="993"/>
        </w:tabs>
        <w:spacing w:line="276" w:lineRule="auto"/>
        <w:ind w:left="0" w:right="616" w:firstLine="336"/>
        <w:jc w:val="both"/>
        <w:rPr>
          <w:rFonts w:ascii="Arial" w:hAnsi="Arial"/>
          <w:lang w:val="en-US"/>
        </w:rPr>
      </w:pPr>
      <w:r w:rsidRPr="009A49C9">
        <w:rPr>
          <w:rFonts w:ascii="Arial" w:hAnsi="Arial"/>
          <w:lang w:val="en-US"/>
        </w:rPr>
        <w:t xml:space="preserve">21.3. upon voluntary resignation from the position of Board member by submitting a request for resignation to the Chair of the Board; </w:t>
      </w:r>
    </w:p>
    <w:p w14:paraId="71B6871F" w14:textId="1D598CF6" w:rsidR="009A49C9" w:rsidRPr="009A49C9" w:rsidRDefault="009A49C9" w:rsidP="00DF01F2">
      <w:pPr>
        <w:pStyle w:val="ListParagraph"/>
        <w:tabs>
          <w:tab w:val="left" w:pos="993"/>
        </w:tabs>
        <w:spacing w:line="276" w:lineRule="auto"/>
        <w:ind w:left="0" w:right="616" w:firstLine="336"/>
        <w:jc w:val="both"/>
        <w:rPr>
          <w:rFonts w:ascii="Arial" w:hAnsi="Arial"/>
          <w:lang w:val="en-US"/>
        </w:rPr>
      </w:pPr>
      <w:r w:rsidRPr="009A49C9">
        <w:rPr>
          <w:rFonts w:ascii="Arial" w:hAnsi="Arial"/>
          <w:lang w:val="en-US"/>
        </w:rPr>
        <w:lastRenderedPageBreak/>
        <w:t xml:space="preserve">21.4. upon the recall of the Board member in accordance with the procedure established by the Regulations due to their non-compliance with the requirements of impeccable reputation or the Board member’s failure to fulfill the obligations specified in </w:t>
      </w:r>
      <w:r w:rsidR="00594035">
        <w:rPr>
          <w:rFonts w:ascii="Arial" w:hAnsi="Arial"/>
          <w:lang w:val="en-US"/>
        </w:rPr>
        <w:t>T</w:t>
      </w:r>
      <w:r w:rsidRPr="009A49C9">
        <w:rPr>
          <w:rFonts w:ascii="Arial" w:hAnsi="Arial"/>
          <w:lang w:val="en-US"/>
        </w:rPr>
        <w:t xml:space="preserve">he </w:t>
      </w:r>
      <w:r w:rsidR="00606360">
        <w:rPr>
          <w:rFonts w:ascii="Arial" w:hAnsi="Arial"/>
          <w:lang w:val="en-US"/>
        </w:rPr>
        <w:t>C</w:t>
      </w:r>
      <w:r w:rsidR="00594035" w:rsidRPr="00594035">
        <w:rPr>
          <w:rFonts w:ascii="Arial" w:hAnsi="Arial"/>
          <w:lang w:val="en-US"/>
        </w:rPr>
        <w:t xml:space="preserve">ommitment to </w:t>
      </w:r>
      <w:r w:rsidR="00606360">
        <w:rPr>
          <w:rFonts w:ascii="Arial" w:hAnsi="Arial"/>
          <w:lang w:val="en-US"/>
        </w:rPr>
        <w:t>C</w:t>
      </w:r>
      <w:r w:rsidR="00594035" w:rsidRPr="00594035">
        <w:rPr>
          <w:rFonts w:ascii="Arial" w:hAnsi="Arial"/>
          <w:lang w:val="en-US"/>
        </w:rPr>
        <w:t>onfidentiality</w:t>
      </w:r>
      <w:r w:rsidRPr="009A49C9">
        <w:rPr>
          <w:rFonts w:ascii="Arial" w:hAnsi="Arial"/>
          <w:lang w:val="en-US"/>
        </w:rPr>
        <w:t xml:space="preserve"> or Declaration of Impartiality.</w:t>
      </w:r>
    </w:p>
    <w:p w14:paraId="50E9C399" w14:textId="2CD32CE6" w:rsidR="009A49C9" w:rsidRPr="002C3854" w:rsidRDefault="009A49C9" w:rsidP="00DF01F2">
      <w:pPr>
        <w:pStyle w:val="ListParagraph"/>
        <w:numPr>
          <w:ilvl w:val="1"/>
          <w:numId w:val="12"/>
        </w:numPr>
        <w:tabs>
          <w:tab w:val="left" w:pos="993"/>
        </w:tabs>
        <w:spacing w:line="276" w:lineRule="auto"/>
        <w:ind w:left="0" w:right="616" w:firstLine="426"/>
        <w:jc w:val="both"/>
        <w:rPr>
          <w:rFonts w:ascii="Arial" w:hAnsi="Arial"/>
          <w:lang w:val="en-US"/>
        </w:rPr>
      </w:pPr>
      <w:r w:rsidRPr="002C3854">
        <w:rPr>
          <w:rFonts w:ascii="Arial" w:hAnsi="Arial"/>
          <w:lang w:val="en-US"/>
        </w:rPr>
        <w:t xml:space="preserve">If it transpires that a Board member does not meet the requirements of impeccable reputation, or if it is established in accordance with the procedure set by University legal acts that a Board member has violated academic ethics or failed to fulfill obligations specified in </w:t>
      </w:r>
      <w:r w:rsidR="001E10D7">
        <w:rPr>
          <w:rFonts w:ascii="Arial" w:hAnsi="Arial"/>
          <w:lang w:val="en-US"/>
        </w:rPr>
        <w:t>T</w:t>
      </w:r>
      <w:r w:rsidR="001E10D7" w:rsidRPr="00594035">
        <w:rPr>
          <w:rFonts w:ascii="Arial" w:hAnsi="Arial"/>
          <w:lang w:val="en-US"/>
        </w:rPr>
        <w:t xml:space="preserve">he </w:t>
      </w:r>
      <w:r w:rsidR="00606360">
        <w:rPr>
          <w:rFonts w:ascii="Arial" w:hAnsi="Arial"/>
          <w:lang w:val="en-US"/>
        </w:rPr>
        <w:t>C</w:t>
      </w:r>
      <w:r w:rsidR="001E10D7" w:rsidRPr="00594035">
        <w:rPr>
          <w:rFonts w:ascii="Arial" w:hAnsi="Arial"/>
          <w:lang w:val="en-US"/>
        </w:rPr>
        <w:t xml:space="preserve">ommitment to </w:t>
      </w:r>
      <w:r w:rsidR="00606360">
        <w:rPr>
          <w:rFonts w:ascii="Arial" w:hAnsi="Arial"/>
          <w:lang w:val="en-US"/>
        </w:rPr>
        <w:t>C</w:t>
      </w:r>
      <w:r w:rsidR="001E10D7" w:rsidRPr="00594035">
        <w:rPr>
          <w:rFonts w:ascii="Arial" w:hAnsi="Arial"/>
          <w:lang w:val="en-US"/>
        </w:rPr>
        <w:t>onfidentiality</w:t>
      </w:r>
      <w:r w:rsidRPr="002C3854">
        <w:rPr>
          <w:rFonts w:ascii="Arial" w:hAnsi="Arial"/>
          <w:lang w:val="en-US"/>
        </w:rPr>
        <w:t xml:space="preserve"> or Declaration of Impartiality, the Board member shall be recalled from office upon the proposal of the Board Chair, and the Board Chair shall be recalled upon the proposal of the majority of Board members, by the decision of the Rector of the University. A Board member against whom an investigation has been initiated cannot participate in Board meetings.</w:t>
      </w:r>
    </w:p>
    <w:p w14:paraId="5ED72D0A" w14:textId="5B8F2DE1" w:rsidR="009A49C9" w:rsidRPr="002C3854" w:rsidRDefault="009A49C9" w:rsidP="00DF01F2">
      <w:pPr>
        <w:pStyle w:val="ListParagraph"/>
        <w:numPr>
          <w:ilvl w:val="1"/>
          <w:numId w:val="12"/>
        </w:numPr>
        <w:tabs>
          <w:tab w:val="left" w:pos="993"/>
        </w:tabs>
        <w:spacing w:line="276" w:lineRule="auto"/>
        <w:ind w:left="0" w:right="616" w:firstLine="426"/>
        <w:jc w:val="both"/>
        <w:rPr>
          <w:rFonts w:ascii="Arial" w:hAnsi="Arial"/>
          <w:lang w:val="en-US"/>
        </w:rPr>
      </w:pPr>
      <w:r w:rsidRPr="002C3854">
        <w:rPr>
          <w:rFonts w:ascii="Arial" w:hAnsi="Arial"/>
          <w:lang w:val="en-US"/>
        </w:rPr>
        <w:t>A new member shall be appointed to replace a Board member whose powers have terminated on the grounds specified in Items 21.1–21.4 of the Regulations for the remainder of the Board’s term in accordance with the procedure established by the Regulations.</w:t>
      </w:r>
    </w:p>
    <w:p w14:paraId="166C61BC" w14:textId="7480E9DF" w:rsidR="009A49C9" w:rsidRPr="002C3854" w:rsidRDefault="009A49C9" w:rsidP="00DF01F2">
      <w:pPr>
        <w:pStyle w:val="ListParagraph"/>
        <w:numPr>
          <w:ilvl w:val="1"/>
          <w:numId w:val="12"/>
        </w:numPr>
        <w:tabs>
          <w:tab w:val="left" w:pos="993"/>
        </w:tabs>
        <w:spacing w:line="276" w:lineRule="auto"/>
        <w:ind w:left="0" w:right="616" w:firstLine="426"/>
        <w:jc w:val="both"/>
        <w:rPr>
          <w:rFonts w:ascii="Arial" w:hAnsi="Arial"/>
          <w:lang w:val="en-US"/>
        </w:rPr>
      </w:pPr>
      <w:r w:rsidRPr="002C3854">
        <w:rPr>
          <w:rFonts w:ascii="Arial" w:hAnsi="Arial"/>
          <w:lang w:val="en-US"/>
        </w:rPr>
        <w:t xml:space="preserve">If necessary, the Board may enlist independent experts of the relevant field of science to provide an opinion on the assessment of an application for compliance with research ethics and to consult Board members. When making decisions, experts do not have the right to vote. Before commencing activities, experts sign </w:t>
      </w:r>
      <w:r w:rsidR="00FA6C93">
        <w:rPr>
          <w:rFonts w:ascii="Arial" w:hAnsi="Arial"/>
          <w:lang w:val="en-US"/>
        </w:rPr>
        <w:t>T</w:t>
      </w:r>
      <w:r w:rsidR="00FA6C93" w:rsidRPr="00594035">
        <w:rPr>
          <w:rFonts w:ascii="Arial" w:hAnsi="Arial"/>
          <w:lang w:val="en-US"/>
        </w:rPr>
        <w:t xml:space="preserve">he </w:t>
      </w:r>
      <w:r w:rsidR="00606360">
        <w:rPr>
          <w:rFonts w:ascii="Arial" w:hAnsi="Arial"/>
          <w:lang w:val="en-US"/>
        </w:rPr>
        <w:t>C</w:t>
      </w:r>
      <w:r w:rsidR="00FA6C93" w:rsidRPr="00594035">
        <w:rPr>
          <w:rFonts w:ascii="Arial" w:hAnsi="Arial"/>
          <w:lang w:val="en-US"/>
        </w:rPr>
        <w:t xml:space="preserve">ommitment to </w:t>
      </w:r>
      <w:r w:rsidR="00606360">
        <w:rPr>
          <w:rFonts w:ascii="Arial" w:hAnsi="Arial"/>
          <w:lang w:val="en-US"/>
        </w:rPr>
        <w:t>C</w:t>
      </w:r>
      <w:r w:rsidR="00FA6C93" w:rsidRPr="00594035">
        <w:rPr>
          <w:rFonts w:ascii="Arial" w:hAnsi="Arial"/>
          <w:lang w:val="en-US"/>
        </w:rPr>
        <w:t>onfidentiality</w:t>
      </w:r>
      <w:r w:rsidRPr="002C3854">
        <w:rPr>
          <w:rFonts w:ascii="Arial" w:hAnsi="Arial"/>
          <w:lang w:val="en-US"/>
        </w:rPr>
        <w:t xml:space="preserve"> and a Declaration of Impartiality.</w:t>
      </w:r>
    </w:p>
    <w:bookmarkEnd w:id="0"/>
    <w:p w14:paraId="45396513" w14:textId="77777777" w:rsidR="002C3DF9" w:rsidRPr="00B52A38" w:rsidRDefault="002C3DF9" w:rsidP="00DF01F2">
      <w:pPr>
        <w:tabs>
          <w:tab w:val="left" w:pos="1276"/>
        </w:tabs>
        <w:spacing w:line="276" w:lineRule="auto"/>
        <w:ind w:right="581" w:firstLine="709"/>
        <w:jc w:val="both"/>
        <w:rPr>
          <w:rFonts w:ascii="Arial" w:hAnsi="Arial"/>
        </w:rPr>
      </w:pPr>
    </w:p>
    <w:p w14:paraId="45E75E92" w14:textId="4C615980" w:rsidR="002C3DF9" w:rsidRPr="00B52A38" w:rsidRDefault="0065594F" w:rsidP="00DF01F2">
      <w:pPr>
        <w:pStyle w:val="ListParagraph"/>
        <w:tabs>
          <w:tab w:val="left" w:pos="1276"/>
        </w:tabs>
        <w:spacing w:line="276" w:lineRule="auto"/>
        <w:ind w:left="709" w:right="581"/>
        <w:jc w:val="center"/>
        <w:rPr>
          <w:rFonts w:ascii="Arial" w:hAnsi="Arial"/>
          <w:b/>
          <w:bCs/>
        </w:rPr>
      </w:pPr>
      <w:bookmarkStart w:id="1" w:name="_Hlk97044615"/>
      <w:r>
        <w:rPr>
          <w:rFonts w:ascii="Arial" w:hAnsi="Arial"/>
          <w:b/>
          <w:bCs/>
        </w:rPr>
        <w:t xml:space="preserve">III. </w:t>
      </w:r>
      <w:r w:rsidRPr="0065594F">
        <w:rPr>
          <w:rFonts w:ascii="Arial" w:hAnsi="Arial"/>
          <w:b/>
          <w:bCs/>
        </w:rPr>
        <w:t>BOARD FUNCTIONS AND WORK ORGANIZATION</w:t>
      </w:r>
    </w:p>
    <w:bookmarkEnd w:id="1"/>
    <w:p w14:paraId="5823EA9E" w14:textId="77777777" w:rsidR="002C3DF9" w:rsidRPr="00B52A38" w:rsidRDefault="002C3DF9" w:rsidP="00DF01F2">
      <w:pPr>
        <w:tabs>
          <w:tab w:val="left" w:pos="1276"/>
        </w:tabs>
        <w:spacing w:line="276" w:lineRule="auto"/>
        <w:ind w:right="581" w:firstLine="709"/>
        <w:jc w:val="both"/>
        <w:rPr>
          <w:rFonts w:ascii="Arial" w:hAnsi="Arial"/>
        </w:rPr>
      </w:pPr>
    </w:p>
    <w:p w14:paraId="05D061F8" w14:textId="6C139922"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 The Board performs the following functions: </w:t>
      </w:r>
    </w:p>
    <w:p w14:paraId="2789C445" w14:textId="362A41B4"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25.1. assesses researchers' applications regarding the assessment of research compliance with research ethics (hereinafter referred to as the Application), deliberates and approves decisions regarding research compliance with research ethics based on documents regulating the professional and research ethics of the relevant field of science, and legal acts related to research ethics requirements and principles;</w:t>
      </w:r>
    </w:p>
    <w:p w14:paraId="5C005EFA" w14:textId="16E85D03"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25.2. consults and provides recommendations to researchers regarding the preparation of documents required for conducting research related to research ethics or data management; </w:t>
      </w:r>
    </w:p>
    <w:p w14:paraId="182B0100" w14:textId="187CAAF5"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25.3. mediates in consultations between researchers and the University Data Protection Officer regarding personal data processing issues;</w:t>
      </w:r>
    </w:p>
    <w:p w14:paraId="4B5B9825" w14:textId="0E2765E5"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25.4. prepares and updates documents intended for researchers' research documentation (research ethics assessment questionnaire, data management plan, etc.);</w:t>
      </w:r>
    </w:p>
    <w:p w14:paraId="5ED819F7" w14:textId="01B7254A"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25.5. deliberates and makes decisions regarding the provision of publicly available information about the Board's activities;</w:t>
      </w:r>
    </w:p>
    <w:p w14:paraId="0BFADF0B" w14:textId="6A1E48C5"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25.6. collects and systematizes data and submits a report on the Board’s work to the Rector of the University;</w:t>
      </w:r>
    </w:p>
    <w:p w14:paraId="17401E63" w14:textId="2368F139"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lastRenderedPageBreak/>
        <w:t>25.7. performs other functions necessary for the implementation of the Board’s objectives.</w:t>
      </w:r>
    </w:p>
    <w:p w14:paraId="11DA8985"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26. The work of the Board is organized, its activities are answered for, and it is represented by the Chair of the Board.</w:t>
      </w:r>
    </w:p>
    <w:p w14:paraId="0FB464CE" w14:textId="2A44358B"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27. The Chair of the Board:</w:t>
      </w:r>
    </w:p>
    <w:p w14:paraId="084CF8C5" w14:textId="26DA92F3"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27.1. convenes and chairs Board meetings;</w:t>
      </w:r>
    </w:p>
    <w:p w14:paraId="1EB51569" w14:textId="11A16443"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27.2. submits amendments to the Regulations to the Rector of the University for </w:t>
      </w:r>
      <w:r>
        <w:rPr>
          <w:rFonts w:ascii="Arial" w:hAnsi="Arial" w:cs="Arial"/>
        </w:rPr>
        <w:br/>
      </w:r>
      <w:r w:rsidRPr="0065594F">
        <w:rPr>
          <w:rFonts w:ascii="Arial" w:hAnsi="Arial" w:cs="Arial"/>
        </w:rPr>
        <w:t>approval. </w:t>
      </w:r>
    </w:p>
    <w:p w14:paraId="25F7E726" w14:textId="15C6D0FE"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27.3. organizes the review of Applications;</w:t>
      </w:r>
    </w:p>
    <w:p w14:paraId="266D60BE" w14:textId="074C5C4B"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27.4. initiates the consideration of relevant issues;</w:t>
      </w:r>
    </w:p>
    <w:p w14:paraId="5F62ED3C" w14:textId="703C461A"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27.5. cooperates with the University Data Protection Officer on personal data protection </w:t>
      </w:r>
      <w:proofErr w:type="gramStart"/>
      <w:r w:rsidRPr="0065594F">
        <w:rPr>
          <w:rFonts w:ascii="Arial" w:hAnsi="Arial" w:cs="Arial"/>
        </w:rPr>
        <w:t>issues;</w:t>
      </w:r>
      <w:proofErr w:type="gramEnd"/>
      <w:r w:rsidRPr="0065594F">
        <w:rPr>
          <w:rFonts w:ascii="Arial" w:hAnsi="Arial" w:cs="Arial"/>
        </w:rPr>
        <w:t> </w:t>
      </w:r>
    </w:p>
    <w:p w14:paraId="07DA66B9" w14:textId="326B748C"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27.6. performs other activities related to ensuring the Board's functions.</w:t>
      </w:r>
    </w:p>
    <w:p w14:paraId="60A36B8C"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28. A Board member who has a conflict of interest regarding the assessment of the compliance of a submitted research project with research ethics must recuse themselves as soon as this becomes apparent, notifying the Chair of the Board in writing. Such a member cannot participate in the assessment of the initial or continuous project of that research, except in cases where information required by the Board must be provided. If the Chair of the Board has a conflict of interest, they must notify the Board Secretary. The Board Secretary, having received information about the Chair's conflict of interest regarding a specific research project, informs the Board. A Board member is elected by a majority vote at the Board meeting to serve as the Chair for that specific meeting.</w:t>
      </w:r>
    </w:p>
    <w:p w14:paraId="7861B75E"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29. If the Chair of the Board cannot participate in a Board meeting for valid reasons, the meeting is convened by the Board Secretary, and it is chaired by a Board member elected by a majority vote at the meeting, who is considered the Chair of that specific meeting.</w:t>
      </w:r>
    </w:p>
    <w:p w14:paraId="57C4855C"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30. The Board Secretary accepts and registers Board documents, prepares minutes of meetings, sends decisions to interested persons, and publishes information about the composition of the Board and its activities on the University website.</w:t>
      </w:r>
    </w:p>
    <w:p w14:paraId="293D1023"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31. The form of the Board’s work organization is a meeting.</w:t>
      </w:r>
    </w:p>
    <w:p w14:paraId="26A0CFE8"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32. A Board meeting may be conducted remotely, where some or all Board members participate remotely.</w:t>
      </w:r>
    </w:p>
    <w:p w14:paraId="0254ABCF"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33. Board meetings are closed. When several research projects are deliberated in the same meeting, related persons are invited separately.</w:t>
      </w:r>
    </w:p>
    <w:p w14:paraId="054FE457"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34. A Board meeting is considered lawful, and decisions adopted during it are valid, if at least half of the Board members participate in the meeting.</w:t>
      </w:r>
    </w:p>
    <w:p w14:paraId="64F7A3AA" w14:textId="79DCFE46"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35. Minutes are taken of Board meetings. The minutes of meetings are signed by the Chair of the Board. Minutes are signed and registered in the University’s Electronic Document Management System (hereinafter referred to as </w:t>
      </w:r>
      <w:proofErr w:type="spellStart"/>
      <w:r w:rsidR="00774888" w:rsidRPr="0065594F">
        <w:rPr>
          <w:rFonts w:ascii="Arial" w:hAnsi="Arial" w:cs="Arial"/>
        </w:rPr>
        <w:t>e</w:t>
      </w:r>
      <w:r w:rsidR="00774888">
        <w:rPr>
          <w:rFonts w:ascii="Arial" w:hAnsi="Arial" w:cs="Arial"/>
        </w:rPr>
        <w:t>DVS</w:t>
      </w:r>
      <w:proofErr w:type="spellEnd"/>
      <w:r w:rsidRPr="0065594F">
        <w:rPr>
          <w:rFonts w:ascii="Arial" w:hAnsi="Arial" w:cs="Arial"/>
        </w:rPr>
        <w:t>).</w:t>
      </w:r>
    </w:p>
    <w:p w14:paraId="0B4E9B3A" w14:textId="2E13C7AE"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36. Researchers planning to conduct scientific research submit an </w:t>
      </w:r>
      <w:proofErr w:type="gramStart"/>
      <w:r w:rsidRPr="0065594F">
        <w:rPr>
          <w:rFonts w:ascii="Arial" w:hAnsi="Arial" w:cs="Arial"/>
        </w:rPr>
        <w:t>Application</w:t>
      </w:r>
      <w:proofErr w:type="gramEnd"/>
      <w:r w:rsidRPr="0065594F">
        <w:rPr>
          <w:rFonts w:ascii="Arial" w:hAnsi="Arial" w:cs="Arial"/>
        </w:rPr>
        <w:t xml:space="preserve"> of the established form (Annex 3) to the Board. The Application is submitted by a </w:t>
      </w:r>
      <w:r w:rsidRPr="0065594F">
        <w:rPr>
          <w:rFonts w:ascii="Arial" w:hAnsi="Arial" w:cs="Arial"/>
        </w:rPr>
        <w:lastRenderedPageBreak/>
        <w:t xml:space="preserve">researcher of the group conducting the research or a doctoral student. The Application form and information related to its completion and submission (main personal data of the researcher, contact information, research plan and summary, data collection instruments (e.g., questionnaire, interview description), data management plan (Annex 4), informed consent form (Annex 5)) are submitted via </w:t>
      </w:r>
      <w:proofErr w:type="spellStart"/>
      <w:r w:rsidR="00130B21" w:rsidRPr="0065594F">
        <w:rPr>
          <w:rFonts w:ascii="Arial" w:hAnsi="Arial" w:cs="Arial"/>
        </w:rPr>
        <w:t>e</w:t>
      </w:r>
      <w:r w:rsidR="00130B21">
        <w:rPr>
          <w:rFonts w:ascii="Arial" w:hAnsi="Arial" w:cs="Arial"/>
        </w:rPr>
        <w:t>DVS</w:t>
      </w:r>
      <w:proofErr w:type="spellEnd"/>
      <w:r w:rsidRPr="0065594F">
        <w:rPr>
          <w:rFonts w:ascii="Arial" w:hAnsi="Arial" w:cs="Arial"/>
        </w:rPr>
        <w:t>.</w:t>
      </w:r>
    </w:p>
    <w:p w14:paraId="61A5A888" w14:textId="7D82F708"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37. Researchers who are University employees upload the Application to </w:t>
      </w:r>
      <w:proofErr w:type="spellStart"/>
      <w:r w:rsidR="00130B21" w:rsidRPr="0065594F">
        <w:rPr>
          <w:rFonts w:ascii="Arial" w:hAnsi="Arial" w:cs="Arial"/>
        </w:rPr>
        <w:t>e</w:t>
      </w:r>
      <w:r w:rsidR="00130B21">
        <w:rPr>
          <w:rFonts w:ascii="Arial" w:hAnsi="Arial" w:cs="Arial"/>
        </w:rPr>
        <w:t>DVS</w:t>
      </w:r>
      <w:proofErr w:type="spellEnd"/>
      <w:r w:rsidR="00130B21" w:rsidRPr="0065594F">
        <w:rPr>
          <w:rFonts w:ascii="Arial" w:hAnsi="Arial" w:cs="Arial"/>
        </w:rPr>
        <w:t xml:space="preserve"> </w:t>
      </w:r>
      <w:r w:rsidRPr="0065594F">
        <w:rPr>
          <w:rFonts w:ascii="Arial" w:hAnsi="Arial" w:cs="Arial"/>
        </w:rPr>
        <w:t xml:space="preserve">independently. The Application is signed with a qualified electronic signature and transferred to the responsible executor – the Board Secretary, who, having checked whether the Application meets the requirements of the Regulations, submits it via </w:t>
      </w:r>
      <w:proofErr w:type="spellStart"/>
      <w:r w:rsidR="00130B21" w:rsidRPr="0065594F">
        <w:rPr>
          <w:rFonts w:ascii="Arial" w:hAnsi="Arial" w:cs="Arial"/>
        </w:rPr>
        <w:t>e</w:t>
      </w:r>
      <w:r w:rsidR="00130B21">
        <w:rPr>
          <w:rFonts w:ascii="Arial" w:hAnsi="Arial" w:cs="Arial"/>
        </w:rPr>
        <w:t>DVS</w:t>
      </w:r>
      <w:proofErr w:type="spellEnd"/>
      <w:r w:rsidR="00130B21" w:rsidRPr="0065594F">
        <w:rPr>
          <w:rFonts w:ascii="Arial" w:hAnsi="Arial" w:cs="Arial"/>
        </w:rPr>
        <w:t xml:space="preserve"> </w:t>
      </w:r>
      <w:r w:rsidRPr="0065594F">
        <w:rPr>
          <w:rFonts w:ascii="Arial" w:hAnsi="Arial" w:cs="Arial"/>
        </w:rPr>
        <w:t>to the members of the Research Ethical Review Board for review within 5 working days.</w:t>
      </w:r>
    </w:p>
    <w:p w14:paraId="2B3F468B" w14:textId="10A6F22A"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38. Doctoral students who are not University employees send signed Applications to the Board Secretary, who, having checked the compliance of the Applications with the requirements of the Regulations, registers them in </w:t>
      </w:r>
      <w:proofErr w:type="spellStart"/>
      <w:r w:rsidR="008D75BA" w:rsidRPr="0065594F">
        <w:rPr>
          <w:rFonts w:ascii="Arial" w:hAnsi="Arial" w:cs="Arial"/>
        </w:rPr>
        <w:t>e</w:t>
      </w:r>
      <w:r w:rsidR="008D75BA">
        <w:rPr>
          <w:rFonts w:ascii="Arial" w:hAnsi="Arial" w:cs="Arial"/>
        </w:rPr>
        <w:t>DVS</w:t>
      </w:r>
      <w:proofErr w:type="spellEnd"/>
      <w:r w:rsidR="008D75BA">
        <w:rPr>
          <w:rFonts w:ascii="Arial" w:hAnsi="Arial" w:cs="Arial"/>
        </w:rPr>
        <w:t xml:space="preserve"> </w:t>
      </w:r>
      <w:r w:rsidRPr="0065594F">
        <w:rPr>
          <w:rFonts w:ascii="Arial" w:hAnsi="Arial" w:cs="Arial"/>
        </w:rPr>
        <w:t xml:space="preserve">within 5 working days and submits them via </w:t>
      </w:r>
      <w:proofErr w:type="spellStart"/>
      <w:r w:rsidR="008D75BA" w:rsidRPr="0065594F">
        <w:rPr>
          <w:rFonts w:ascii="Arial" w:hAnsi="Arial" w:cs="Arial"/>
        </w:rPr>
        <w:t>e</w:t>
      </w:r>
      <w:r w:rsidR="008D75BA">
        <w:rPr>
          <w:rFonts w:ascii="Arial" w:hAnsi="Arial" w:cs="Arial"/>
        </w:rPr>
        <w:t>DVS</w:t>
      </w:r>
      <w:proofErr w:type="spellEnd"/>
      <w:r w:rsidR="008D75BA" w:rsidRPr="0065594F">
        <w:rPr>
          <w:rFonts w:ascii="Arial" w:hAnsi="Arial" w:cs="Arial"/>
        </w:rPr>
        <w:t xml:space="preserve"> </w:t>
      </w:r>
      <w:r w:rsidRPr="0065594F">
        <w:rPr>
          <w:rFonts w:ascii="Arial" w:hAnsi="Arial" w:cs="Arial"/>
        </w:rPr>
        <w:t>to the members of the Research Ethical Review Board for review.</w:t>
      </w:r>
    </w:p>
    <w:p w14:paraId="358213DF"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39. The Board must make a decision regarding the compliance of the planned research with research ethics no later than within 20 working days from the deadlines for accepting applications, and inform the researcher about the adopted decision no later than within 3 working days from the day the decision was adopted.</w:t>
      </w:r>
    </w:p>
    <w:p w14:paraId="5A410F87"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40. The Board adopts a decision regarding the compliance of scientific research with research ethics in meetings by open voting via a simple majority of votes. If the votes are distributed equally, the vote of the Board Chair (the Chair of the meeting) is decisive.</w:t>
      </w:r>
    </w:p>
    <w:p w14:paraId="0CFD8CC1" w14:textId="2C3A4FFE"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41. After the Board has performed the assessment procedure of the planned scientific research, the researcher is informed about the adopted decision by transferring an extract of the Board minutes for review via the University </w:t>
      </w:r>
      <w:proofErr w:type="spellStart"/>
      <w:r w:rsidR="00BF5A9E" w:rsidRPr="0065594F">
        <w:rPr>
          <w:rFonts w:ascii="Arial" w:hAnsi="Arial" w:cs="Arial"/>
        </w:rPr>
        <w:t>e</w:t>
      </w:r>
      <w:r w:rsidR="00BF5A9E">
        <w:rPr>
          <w:rFonts w:ascii="Arial" w:hAnsi="Arial" w:cs="Arial"/>
        </w:rPr>
        <w:t>DVS</w:t>
      </w:r>
      <w:proofErr w:type="spellEnd"/>
      <w:r w:rsidR="00BF5A9E" w:rsidRPr="0065594F">
        <w:rPr>
          <w:rFonts w:ascii="Arial" w:hAnsi="Arial" w:cs="Arial"/>
        </w:rPr>
        <w:t xml:space="preserve"> </w:t>
      </w:r>
      <w:r w:rsidRPr="0065594F">
        <w:rPr>
          <w:rFonts w:ascii="Arial" w:hAnsi="Arial" w:cs="Arial"/>
        </w:rPr>
        <w:t>means, while the extract of the Board minutes is sent to a doctoral student via email.</w:t>
      </w:r>
    </w:p>
    <w:p w14:paraId="73088131" w14:textId="77777777"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42. A Board decision that planned scientific research complies with research ethics is valid for a certain term, which is decided separately each time, taking into account the following criteria: </w:t>
      </w:r>
    </w:p>
    <w:p w14:paraId="4F28F093" w14:textId="77777777" w:rsid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42.1. the duration of the planned scientific research; </w:t>
      </w:r>
    </w:p>
    <w:p w14:paraId="760D925D" w14:textId="285139F3"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42.2. the terms/validity of permits from other institutions (if mandatory) to conduct the research.</w:t>
      </w:r>
    </w:p>
    <w:p w14:paraId="01B4FA37" w14:textId="77777777"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43. Upon making significant changes to the plan of the scientific research for which the Board has adopted a decision that the planned research complies with research ethics, the researcher applies to the Board again within 5 working days with a request to obtain a new decision regarding compliance with research ethics.</w:t>
      </w:r>
    </w:p>
    <w:p w14:paraId="16EFD059" w14:textId="3A9C682A" w:rsidR="0065594F" w:rsidRPr="0065594F" w:rsidRDefault="0065594F" w:rsidP="00DF01F2">
      <w:pPr>
        <w:pStyle w:val="NormalWeb"/>
        <w:suppressAutoHyphens/>
        <w:spacing w:before="0" w:beforeAutospacing="0" w:after="0" w:afterAutospacing="0" w:line="276" w:lineRule="auto"/>
        <w:ind w:right="567" w:firstLine="426"/>
        <w:jc w:val="both"/>
        <w:rPr>
          <w:rFonts w:ascii="Arial" w:hAnsi="Arial" w:cs="Arial"/>
        </w:rPr>
      </w:pPr>
      <w:r w:rsidRPr="0065594F">
        <w:rPr>
          <w:rFonts w:ascii="Arial" w:hAnsi="Arial" w:cs="Arial"/>
        </w:rPr>
        <w:t xml:space="preserve">44. If the Board has remarks or recommendations regarding the compliance of a specific scientific research project with research ethics, the researchers who submitted the request, having taken into account the Board's remarks and recommendations, submit the Application for re-assessment, OR submit a reasoned explanation if they </w:t>
      </w:r>
      <w:r w:rsidRPr="0065594F">
        <w:rPr>
          <w:rFonts w:ascii="Arial" w:hAnsi="Arial" w:cs="Arial"/>
        </w:rPr>
        <w:lastRenderedPageBreak/>
        <w:t>disagree with the Board's remarks and recommendations, OR inform the Board that they are abandoning the intention to conduct the planned research. For reassessment, answers to the Board's questions and remarks are provided, along with the supplemented Application form with marked changes. If the author(s) of the research refuse to take into account the Board's remarks and recommendations and plan to implement research that obviously contradicts research ethics and poses an obvious risk of major harm to research participants, the Board may inform the direct supervisor of the researcher who submitted the Application about this, reporting the potential risks to research participants and the University's reputation, as well as interested institutions.</w:t>
      </w:r>
    </w:p>
    <w:p w14:paraId="1BC97124" w14:textId="77777777" w:rsidR="002C3DF9" w:rsidRPr="00B52A38" w:rsidRDefault="002C3DF9" w:rsidP="00DF01F2">
      <w:pPr>
        <w:tabs>
          <w:tab w:val="left" w:pos="1276"/>
        </w:tabs>
        <w:spacing w:line="276" w:lineRule="auto"/>
        <w:ind w:right="581" w:firstLine="709"/>
        <w:jc w:val="both"/>
        <w:rPr>
          <w:rFonts w:ascii="Arial" w:hAnsi="Arial"/>
        </w:rPr>
      </w:pPr>
    </w:p>
    <w:p w14:paraId="1A06404E" w14:textId="414CD448" w:rsidR="002C3DF9" w:rsidRPr="00B52A38" w:rsidRDefault="006E7517" w:rsidP="00DF01F2">
      <w:pPr>
        <w:pStyle w:val="ListParagraph"/>
        <w:tabs>
          <w:tab w:val="left" w:pos="1276"/>
        </w:tabs>
        <w:spacing w:line="276" w:lineRule="auto"/>
        <w:ind w:left="709" w:right="581"/>
        <w:jc w:val="center"/>
        <w:rPr>
          <w:rFonts w:ascii="Arial" w:hAnsi="Arial"/>
          <w:b/>
          <w:bCs/>
        </w:rPr>
      </w:pPr>
      <w:bookmarkStart w:id="2" w:name="_Hlk97047191"/>
      <w:r>
        <w:rPr>
          <w:rFonts w:ascii="Arial" w:hAnsi="Arial"/>
          <w:b/>
          <w:bCs/>
        </w:rPr>
        <w:t xml:space="preserve">IV. </w:t>
      </w:r>
      <w:r w:rsidRPr="006E7517">
        <w:rPr>
          <w:rFonts w:ascii="Arial" w:hAnsi="Arial"/>
          <w:b/>
          <w:bCs/>
        </w:rPr>
        <w:t>REGISTRATION OF RESEARCH THAT HAS RECEIVED CONFIRMATION OF RESEARCH ETHICS COMPLIANCE</w:t>
      </w:r>
    </w:p>
    <w:bookmarkEnd w:id="2"/>
    <w:p w14:paraId="7CDDBC16" w14:textId="77777777" w:rsidR="002C3DF9" w:rsidRDefault="002C3DF9" w:rsidP="00DF01F2">
      <w:pPr>
        <w:tabs>
          <w:tab w:val="left" w:pos="1276"/>
        </w:tabs>
        <w:spacing w:line="276" w:lineRule="auto"/>
        <w:ind w:right="581" w:firstLine="709"/>
        <w:jc w:val="both"/>
        <w:rPr>
          <w:rFonts w:ascii="Arial" w:hAnsi="Arial"/>
        </w:rPr>
      </w:pPr>
    </w:p>
    <w:p w14:paraId="0A6CBDD3" w14:textId="77777777" w:rsidR="006E7517" w:rsidRP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45. Selected data regarding scientific research from the register of all research conducted by University researchers, the compliance of which with research ethics has been confirmed, are publicly available on the University website to the extent established in the Regulations of the University Register of Research that has Received Confirmation of Research Ethics Compliance.</w:t>
      </w:r>
    </w:p>
    <w:p w14:paraId="4BCC963D" w14:textId="6E4D1CF2"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 xml:space="preserve">46. The following data regarding scientific research are published in the publicly available </w:t>
      </w:r>
      <w:r w:rsidR="00606360">
        <w:rPr>
          <w:rFonts w:ascii="Arial" w:hAnsi="Arial"/>
          <w:lang w:val="en-US"/>
        </w:rPr>
        <w:t>r</w:t>
      </w:r>
      <w:r w:rsidRPr="00F86378">
        <w:rPr>
          <w:rFonts w:ascii="Arial" w:hAnsi="Arial"/>
          <w:lang w:val="en-US"/>
        </w:rPr>
        <w:t xml:space="preserve">egister of </w:t>
      </w:r>
      <w:r w:rsidR="00606360">
        <w:rPr>
          <w:rFonts w:ascii="Arial" w:hAnsi="Arial"/>
          <w:lang w:val="en-US"/>
        </w:rPr>
        <w:t>r</w:t>
      </w:r>
      <w:r w:rsidRPr="00F86378">
        <w:rPr>
          <w:rFonts w:ascii="Arial" w:hAnsi="Arial"/>
          <w:lang w:val="en-US"/>
        </w:rPr>
        <w:t xml:space="preserve">esearch that has </w:t>
      </w:r>
      <w:r w:rsidR="00606360">
        <w:rPr>
          <w:rFonts w:ascii="Arial" w:hAnsi="Arial"/>
          <w:lang w:val="en-US"/>
        </w:rPr>
        <w:t>r</w:t>
      </w:r>
      <w:r w:rsidRPr="00F86378">
        <w:rPr>
          <w:rFonts w:ascii="Arial" w:hAnsi="Arial"/>
          <w:lang w:val="en-US"/>
        </w:rPr>
        <w:t xml:space="preserve">eceived </w:t>
      </w:r>
      <w:r w:rsidR="00606360">
        <w:rPr>
          <w:rFonts w:ascii="Arial" w:hAnsi="Arial"/>
          <w:lang w:val="en-US"/>
        </w:rPr>
        <w:t>c</w:t>
      </w:r>
      <w:r w:rsidRPr="00F86378">
        <w:rPr>
          <w:rFonts w:ascii="Arial" w:hAnsi="Arial"/>
          <w:lang w:val="en-US"/>
        </w:rPr>
        <w:t xml:space="preserve">onfirmation of </w:t>
      </w:r>
      <w:r w:rsidR="00606360">
        <w:rPr>
          <w:rFonts w:ascii="Arial" w:hAnsi="Arial"/>
          <w:lang w:val="en-US"/>
        </w:rPr>
        <w:t>r</w:t>
      </w:r>
      <w:r w:rsidRPr="00F86378">
        <w:rPr>
          <w:rFonts w:ascii="Arial" w:hAnsi="Arial"/>
          <w:lang w:val="en-US"/>
        </w:rPr>
        <w:t xml:space="preserve">esearch </w:t>
      </w:r>
      <w:r w:rsidR="00606360">
        <w:rPr>
          <w:rFonts w:ascii="Arial" w:hAnsi="Arial"/>
          <w:lang w:val="en-US"/>
        </w:rPr>
        <w:t>e</w:t>
      </w:r>
      <w:r w:rsidRPr="00F86378">
        <w:rPr>
          <w:rFonts w:ascii="Arial" w:hAnsi="Arial"/>
          <w:lang w:val="en-US"/>
        </w:rPr>
        <w:t xml:space="preserve">thics </w:t>
      </w:r>
      <w:r w:rsidR="00606360">
        <w:rPr>
          <w:rFonts w:ascii="Arial" w:hAnsi="Arial"/>
          <w:lang w:val="en-US"/>
        </w:rPr>
        <w:t>c</w:t>
      </w:r>
      <w:r w:rsidRPr="00F86378">
        <w:rPr>
          <w:rFonts w:ascii="Arial" w:hAnsi="Arial"/>
          <w:lang w:val="en-US"/>
        </w:rPr>
        <w:t>ompliance:</w:t>
      </w:r>
    </w:p>
    <w:p w14:paraId="310EFBCA" w14:textId="54BADE6D"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46.1. researcher’s name, surname, affiliation (and/or partners) (indicating not only the institution but also the assignment to an academic community group: lecturer, researcher, student) and email address;</w:t>
      </w:r>
    </w:p>
    <w:p w14:paraId="3885D3BB" w14:textId="0BC7E15B"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46.2. title of the scientific research;</w:t>
      </w:r>
    </w:p>
    <w:p w14:paraId="213436EE" w14:textId="557C2969"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46.3. field(s) of science;</w:t>
      </w:r>
    </w:p>
    <w:p w14:paraId="1147A50C" w14:textId="46292348"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46.4. type of scientific output created and/or planned (e.g., article, monograph, textbook, video recording, etc.);</w:t>
      </w:r>
    </w:p>
    <w:p w14:paraId="260962AD" w14:textId="23F71B2B"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46.5. research data collection methods;</w:t>
      </w:r>
    </w:p>
    <w:p w14:paraId="206AA7DB" w14:textId="5C9EF929"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46.6. research data analysis methods;</w:t>
      </w:r>
    </w:p>
    <w:p w14:paraId="0909BC2A" w14:textId="189CADE3" w:rsid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46.7. funding sources;</w:t>
      </w:r>
    </w:p>
    <w:p w14:paraId="4EE3F8C7" w14:textId="36B641DE" w:rsidR="006E7517" w:rsidRPr="00F86378" w:rsidRDefault="006E7517" w:rsidP="00DF01F2">
      <w:pPr>
        <w:tabs>
          <w:tab w:val="left" w:pos="1276"/>
        </w:tabs>
        <w:spacing w:line="276" w:lineRule="auto"/>
        <w:ind w:right="581" w:firstLine="709"/>
        <w:jc w:val="both"/>
        <w:rPr>
          <w:rFonts w:ascii="Arial" w:hAnsi="Arial"/>
          <w:lang w:val="en-US"/>
        </w:rPr>
      </w:pPr>
      <w:r w:rsidRPr="00F86378">
        <w:rPr>
          <w:rFonts w:ascii="Arial" w:hAnsi="Arial"/>
          <w:lang w:val="en-US"/>
        </w:rPr>
        <w:t>46.8. keywords.</w:t>
      </w:r>
    </w:p>
    <w:p w14:paraId="512B4865" w14:textId="77777777" w:rsidR="006E7517" w:rsidRDefault="006E7517" w:rsidP="00DF01F2">
      <w:pPr>
        <w:tabs>
          <w:tab w:val="left" w:pos="1276"/>
        </w:tabs>
        <w:spacing w:line="276" w:lineRule="auto"/>
        <w:ind w:right="581" w:firstLine="709"/>
        <w:jc w:val="both"/>
        <w:rPr>
          <w:rFonts w:ascii="Arial" w:hAnsi="Arial"/>
        </w:rPr>
      </w:pPr>
    </w:p>
    <w:p w14:paraId="7584964A" w14:textId="2E243981" w:rsidR="002C3DF9" w:rsidRPr="00B52A38" w:rsidRDefault="00F86378" w:rsidP="00DF01F2">
      <w:pPr>
        <w:pStyle w:val="ListParagraph"/>
        <w:numPr>
          <w:ilvl w:val="0"/>
          <w:numId w:val="17"/>
        </w:numPr>
        <w:tabs>
          <w:tab w:val="left" w:pos="1276"/>
        </w:tabs>
        <w:spacing w:line="276" w:lineRule="auto"/>
        <w:ind w:right="581"/>
        <w:jc w:val="center"/>
        <w:rPr>
          <w:rFonts w:ascii="Arial" w:hAnsi="Arial"/>
          <w:b/>
          <w:bCs/>
        </w:rPr>
      </w:pPr>
      <w:r>
        <w:rPr>
          <w:rFonts w:ascii="Arial" w:hAnsi="Arial"/>
          <w:b/>
          <w:bCs/>
        </w:rPr>
        <w:t xml:space="preserve">FINAL PROVISIONS </w:t>
      </w:r>
    </w:p>
    <w:p w14:paraId="7A8693F5" w14:textId="77777777" w:rsidR="002C3DF9" w:rsidRPr="00B52A38" w:rsidRDefault="002C3DF9" w:rsidP="00DF01F2">
      <w:pPr>
        <w:tabs>
          <w:tab w:val="left" w:pos="1276"/>
        </w:tabs>
        <w:spacing w:line="276" w:lineRule="auto"/>
        <w:ind w:right="581" w:firstLine="709"/>
        <w:jc w:val="center"/>
        <w:rPr>
          <w:rFonts w:ascii="Arial" w:hAnsi="Arial"/>
          <w:b/>
          <w:bCs/>
        </w:rPr>
      </w:pPr>
    </w:p>
    <w:p w14:paraId="17E7209B" w14:textId="1B160D7E" w:rsidR="002C3DF9" w:rsidRPr="00F86378" w:rsidRDefault="00F86378" w:rsidP="00DF01F2">
      <w:pPr>
        <w:pStyle w:val="ListParagraph"/>
        <w:numPr>
          <w:ilvl w:val="0"/>
          <w:numId w:val="18"/>
        </w:numPr>
        <w:tabs>
          <w:tab w:val="left" w:pos="1276"/>
        </w:tabs>
        <w:spacing w:line="276" w:lineRule="auto"/>
        <w:ind w:right="581"/>
        <w:jc w:val="both"/>
        <w:rPr>
          <w:rFonts w:ascii="Arial" w:hAnsi="Arial"/>
          <w:lang w:val="en-US"/>
        </w:rPr>
      </w:pPr>
      <w:r w:rsidRPr="00F86378">
        <w:rPr>
          <w:rFonts w:ascii="Arial" w:hAnsi="Arial"/>
          <w:lang w:val="en-US"/>
        </w:rPr>
        <w:t xml:space="preserve">These Regulations of the Board's work shall enter into force on the day of their adoption. </w:t>
      </w:r>
    </w:p>
    <w:p w14:paraId="18DAA4DD" w14:textId="57D058C5" w:rsidR="002C3DF9" w:rsidRDefault="002C3DF9" w:rsidP="00DF01F2">
      <w:pPr>
        <w:spacing w:line="276" w:lineRule="auto"/>
        <w:ind w:right="581"/>
        <w:jc w:val="both"/>
        <w:rPr>
          <w:rFonts w:ascii="Arial" w:hAnsi="Arial"/>
        </w:rPr>
      </w:pPr>
    </w:p>
    <w:sectPr w:rsidR="002C3DF9" w:rsidSect="006E7517">
      <w:pgSz w:w="12240" w:h="15840"/>
      <w:pgMar w:top="1134" w:right="90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74AD" w14:textId="77777777" w:rsidR="003D2CC5" w:rsidRDefault="003D2CC5">
      <w:r>
        <w:separator/>
      </w:r>
    </w:p>
  </w:endnote>
  <w:endnote w:type="continuationSeparator" w:id="0">
    <w:p w14:paraId="1AA0622B" w14:textId="77777777" w:rsidR="003D2CC5" w:rsidRDefault="003D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B949" w14:textId="77777777" w:rsidR="003D2CC5" w:rsidRDefault="003D2CC5">
      <w:r>
        <w:rPr>
          <w:color w:val="000000"/>
        </w:rPr>
        <w:separator/>
      </w:r>
    </w:p>
  </w:footnote>
  <w:footnote w:type="continuationSeparator" w:id="0">
    <w:p w14:paraId="25DF294A" w14:textId="77777777" w:rsidR="003D2CC5" w:rsidRDefault="003D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ED9"/>
    <w:multiLevelType w:val="hybridMultilevel"/>
    <w:tmpl w:val="2062DBFE"/>
    <w:lvl w:ilvl="0" w:tplc="D4F8C6CC">
      <w:start w:val="5"/>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A94B5F"/>
    <w:multiLevelType w:val="hybridMultilevel"/>
    <w:tmpl w:val="1B785198"/>
    <w:lvl w:ilvl="0" w:tplc="64A235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B2093D"/>
    <w:multiLevelType w:val="hybridMultilevel"/>
    <w:tmpl w:val="20ACA9D4"/>
    <w:lvl w:ilvl="0" w:tplc="5F768D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853B2"/>
    <w:multiLevelType w:val="hybridMultilevel"/>
    <w:tmpl w:val="F5AA4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6649"/>
    <w:multiLevelType w:val="multilevel"/>
    <w:tmpl w:val="0A62CE0E"/>
    <w:lvl w:ilvl="0">
      <w:start w:val="14"/>
      <w:numFmt w:val="decimal"/>
      <w:lvlText w:val="%1."/>
      <w:lvlJc w:val="left"/>
      <w:pPr>
        <w:ind w:left="7448" w:hanging="360"/>
      </w:pPr>
      <w:rPr>
        <w:rFonts w:hint="default"/>
        <w:strike w:val="0"/>
        <w:dstrike w:val="0"/>
      </w:rPr>
    </w:lvl>
    <w:lvl w:ilvl="1">
      <w:start w:val="1"/>
      <w:numFmt w:val="decimal"/>
      <w:lvlText w:val="%1.%2."/>
      <w:lvlJc w:val="left"/>
      <w:pPr>
        <w:ind w:left="792" w:hanging="432"/>
      </w:pPr>
      <w:rPr>
        <w:rFonts w:hint="default"/>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992BAE"/>
    <w:multiLevelType w:val="multilevel"/>
    <w:tmpl w:val="9558C8CE"/>
    <w:lvl w:ilvl="0">
      <w:start w:val="25"/>
      <w:numFmt w:val="decimal"/>
      <w:lvlText w:val="%1."/>
      <w:lvlJc w:val="left"/>
      <w:pPr>
        <w:ind w:left="360" w:hanging="360"/>
      </w:pPr>
      <w:rPr>
        <w:rFonts w:hint="default"/>
        <w:strike w:val="0"/>
        <w:dstrike w:val="0"/>
      </w:rPr>
    </w:lvl>
    <w:lvl w:ilvl="1">
      <w:start w:val="1"/>
      <w:numFmt w:val="decimal"/>
      <w:lvlText w:val="%1.%2."/>
      <w:lvlJc w:val="left"/>
      <w:pPr>
        <w:ind w:left="-6296" w:hanging="432"/>
      </w:pPr>
      <w:rPr>
        <w:rFonts w:hint="default"/>
        <w:strike w:val="0"/>
        <w:dstrike w:val="0"/>
      </w:rPr>
    </w:lvl>
    <w:lvl w:ilvl="2">
      <w:start w:val="1"/>
      <w:numFmt w:val="decimal"/>
      <w:lvlText w:val="%1.%2.%3."/>
      <w:lvlJc w:val="left"/>
      <w:pPr>
        <w:ind w:left="-5864" w:hanging="504"/>
      </w:pPr>
      <w:rPr>
        <w:rFonts w:hint="default"/>
      </w:rPr>
    </w:lvl>
    <w:lvl w:ilvl="3">
      <w:start w:val="1"/>
      <w:numFmt w:val="decimal"/>
      <w:lvlText w:val="%1.%2.%3.%4."/>
      <w:lvlJc w:val="left"/>
      <w:pPr>
        <w:ind w:left="-5360" w:hanging="648"/>
      </w:pPr>
      <w:rPr>
        <w:rFonts w:hint="default"/>
      </w:rPr>
    </w:lvl>
    <w:lvl w:ilvl="4">
      <w:start w:val="1"/>
      <w:numFmt w:val="decimal"/>
      <w:lvlText w:val="%1.%2.%3.%4.%5."/>
      <w:lvlJc w:val="left"/>
      <w:pPr>
        <w:ind w:left="-4856" w:hanging="792"/>
      </w:pPr>
      <w:rPr>
        <w:rFonts w:hint="default"/>
      </w:rPr>
    </w:lvl>
    <w:lvl w:ilvl="5">
      <w:start w:val="1"/>
      <w:numFmt w:val="decimal"/>
      <w:lvlText w:val="%1.%2.%3.%4.%5.%6."/>
      <w:lvlJc w:val="left"/>
      <w:pPr>
        <w:ind w:left="-4352" w:hanging="936"/>
      </w:pPr>
      <w:rPr>
        <w:rFonts w:hint="default"/>
      </w:rPr>
    </w:lvl>
    <w:lvl w:ilvl="6">
      <w:start w:val="1"/>
      <w:numFmt w:val="decimal"/>
      <w:lvlText w:val="%1.%2.%3.%4.%5.%6.%7."/>
      <w:lvlJc w:val="left"/>
      <w:pPr>
        <w:ind w:left="-3848" w:hanging="1080"/>
      </w:pPr>
      <w:rPr>
        <w:rFonts w:hint="default"/>
      </w:rPr>
    </w:lvl>
    <w:lvl w:ilvl="7">
      <w:start w:val="1"/>
      <w:numFmt w:val="decimal"/>
      <w:lvlText w:val="%1.%2.%3.%4.%5.%6.%7.%8."/>
      <w:lvlJc w:val="left"/>
      <w:pPr>
        <w:ind w:left="-3344" w:hanging="1224"/>
      </w:pPr>
      <w:rPr>
        <w:rFonts w:hint="default"/>
      </w:rPr>
    </w:lvl>
    <w:lvl w:ilvl="8">
      <w:start w:val="1"/>
      <w:numFmt w:val="decimal"/>
      <w:lvlText w:val="%1.%2.%3.%4.%5.%6.%7.%8.%9."/>
      <w:lvlJc w:val="left"/>
      <w:pPr>
        <w:ind w:left="-2768" w:hanging="1440"/>
      </w:pPr>
      <w:rPr>
        <w:rFonts w:hint="default"/>
      </w:rPr>
    </w:lvl>
  </w:abstractNum>
  <w:abstractNum w:abstractNumId="7" w15:restartNumberingAfterBreak="0">
    <w:nsid w:val="26676702"/>
    <w:multiLevelType w:val="hybridMultilevel"/>
    <w:tmpl w:val="5CAA7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8B67B5"/>
    <w:multiLevelType w:val="hybridMultilevel"/>
    <w:tmpl w:val="B7606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900DAF"/>
    <w:multiLevelType w:val="hybridMultilevel"/>
    <w:tmpl w:val="C720BFAE"/>
    <w:lvl w:ilvl="0" w:tplc="597438D6">
      <w:start w:val="1"/>
      <w:numFmt w:val="decimal"/>
      <w:lvlText w:val="%1."/>
      <w:lvlJc w:val="left"/>
      <w:pPr>
        <w:ind w:left="1200" w:hanging="360"/>
      </w:pPr>
      <w:rPr>
        <w:rFonts w:ascii="Times New Roman" w:hAnsi="Times New Roman" w:cs="Times New Roman" w:hint="default"/>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45503EEF"/>
    <w:multiLevelType w:val="hybridMultilevel"/>
    <w:tmpl w:val="22800C94"/>
    <w:lvl w:ilvl="0" w:tplc="16308EB2">
      <w:start w:val="1"/>
      <w:numFmt w:val="upperRoman"/>
      <w:lvlText w:val="%1."/>
      <w:lvlJc w:val="left"/>
      <w:pPr>
        <w:ind w:left="1080" w:hanging="720"/>
      </w:pPr>
      <w:rPr>
        <w:rFonts w:hint="default"/>
      </w:rPr>
    </w:lvl>
    <w:lvl w:ilvl="1" w:tplc="5F768D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92008A"/>
    <w:multiLevelType w:val="multilevel"/>
    <w:tmpl w:val="CC94FB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0F6429"/>
    <w:multiLevelType w:val="hybridMultilevel"/>
    <w:tmpl w:val="84DC71BA"/>
    <w:lvl w:ilvl="0" w:tplc="5F768DE8">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F80D1D"/>
    <w:multiLevelType w:val="hybridMultilevel"/>
    <w:tmpl w:val="BB36BA00"/>
    <w:lvl w:ilvl="0" w:tplc="4C4A1EF0">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9E0FC8"/>
    <w:multiLevelType w:val="hybridMultilevel"/>
    <w:tmpl w:val="2E76EE86"/>
    <w:lvl w:ilvl="0" w:tplc="5F768DE8">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304A0F"/>
    <w:multiLevelType w:val="hybridMultilevel"/>
    <w:tmpl w:val="341EAFE0"/>
    <w:lvl w:ilvl="0" w:tplc="9A308CA6">
      <w:start w:val="4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8EB2C8F"/>
    <w:multiLevelType w:val="multilevel"/>
    <w:tmpl w:val="F7A636F0"/>
    <w:lvl w:ilvl="0">
      <w:start w:val="1"/>
      <w:numFmt w:val="decimal"/>
      <w:lvlText w:val="%1."/>
      <w:lvlJc w:val="left"/>
      <w:pPr>
        <w:ind w:left="7448" w:hanging="360"/>
      </w:pPr>
      <w:rPr>
        <w:strike w:val="0"/>
        <w:dstrike w:val="0"/>
      </w:rPr>
    </w:lvl>
    <w:lvl w:ilvl="1">
      <w:start w:val="1"/>
      <w:numFmt w:val="decimal"/>
      <w:lvlText w:val="%1.%2."/>
      <w:lvlJc w:val="left"/>
      <w:pPr>
        <w:ind w:left="792" w:hanging="432"/>
      </w:pPr>
      <w:rPr>
        <w:strike w:val="0"/>
        <w:d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4184623">
    <w:abstractNumId w:val="12"/>
  </w:num>
  <w:num w:numId="2" w16cid:durableId="2008314909">
    <w:abstractNumId w:val="6"/>
  </w:num>
  <w:num w:numId="3" w16cid:durableId="949314776">
    <w:abstractNumId w:val="2"/>
  </w:num>
  <w:num w:numId="4" w16cid:durableId="148249706">
    <w:abstractNumId w:val="11"/>
  </w:num>
  <w:num w:numId="5" w16cid:durableId="345524368">
    <w:abstractNumId w:val="17"/>
  </w:num>
  <w:num w:numId="6" w16cid:durableId="275256617">
    <w:abstractNumId w:val="9"/>
  </w:num>
  <w:num w:numId="7" w16cid:durableId="677973786">
    <w:abstractNumId w:val="1"/>
  </w:num>
  <w:num w:numId="8" w16cid:durableId="913320489">
    <w:abstractNumId w:val="4"/>
  </w:num>
  <w:num w:numId="9" w16cid:durableId="950937781">
    <w:abstractNumId w:val="14"/>
  </w:num>
  <w:num w:numId="10" w16cid:durableId="1218936224">
    <w:abstractNumId w:val="8"/>
  </w:num>
  <w:num w:numId="11" w16cid:durableId="945426220">
    <w:abstractNumId w:val="7"/>
  </w:num>
  <w:num w:numId="12" w16cid:durableId="746342405">
    <w:abstractNumId w:val="10"/>
  </w:num>
  <w:num w:numId="13" w16cid:durableId="973220278">
    <w:abstractNumId w:val="15"/>
  </w:num>
  <w:num w:numId="14" w16cid:durableId="609288827">
    <w:abstractNumId w:val="13"/>
  </w:num>
  <w:num w:numId="15" w16cid:durableId="203367697">
    <w:abstractNumId w:val="5"/>
  </w:num>
  <w:num w:numId="16" w16cid:durableId="83572967">
    <w:abstractNumId w:val="3"/>
  </w:num>
  <w:num w:numId="17" w16cid:durableId="170874426">
    <w:abstractNumId w:val="0"/>
  </w:num>
  <w:num w:numId="18" w16cid:durableId="1984575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NzOztDQxNTM0MDRQ0lEKTi0uzszPAykwrgUAnA/EtCwAAAA="/>
  </w:docVars>
  <w:rsids>
    <w:rsidRoot w:val="002C3DF9"/>
    <w:rsid w:val="00007DB5"/>
    <w:rsid w:val="000116D8"/>
    <w:rsid w:val="000126A5"/>
    <w:rsid w:val="00014F11"/>
    <w:rsid w:val="00026AAD"/>
    <w:rsid w:val="00033C74"/>
    <w:rsid w:val="00036981"/>
    <w:rsid w:val="00054635"/>
    <w:rsid w:val="00057983"/>
    <w:rsid w:val="0006249D"/>
    <w:rsid w:val="000650F0"/>
    <w:rsid w:val="00070D01"/>
    <w:rsid w:val="000729F3"/>
    <w:rsid w:val="000738EB"/>
    <w:rsid w:val="000843F4"/>
    <w:rsid w:val="00094070"/>
    <w:rsid w:val="000A710D"/>
    <w:rsid w:val="000B4C50"/>
    <w:rsid w:val="000B53E0"/>
    <w:rsid w:val="000C2416"/>
    <w:rsid w:val="000C41DC"/>
    <w:rsid w:val="000C4D58"/>
    <w:rsid w:val="000D3529"/>
    <w:rsid w:val="000D7DCC"/>
    <w:rsid w:val="000F20E8"/>
    <w:rsid w:val="000F449D"/>
    <w:rsid w:val="00102D2F"/>
    <w:rsid w:val="00104FF4"/>
    <w:rsid w:val="00106C82"/>
    <w:rsid w:val="00127B3A"/>
    <w:rsid w:val="00130B21"/>
    <w:rsid w:val="00163300"/>
    <w:rsid w:val="00167469"/>
    <w:rsid w:val="001756A0"/>
    <w:rsid w:val="001809C0"/>
    <w:rsid w:val="00180D60"/>
    <w:rsid w:val="00185020"/>
    <w:rsid w:val="001A6D62"/>
    <w:rsid w:val="001B0786"/>
    <w:rsid w:val="001B1553"/>
    <w:rsid w:val="001B2454"/>
    <w:rsid w:val="001B55DD"/>
    <w:rsid w:val="001B643D"/>
    <w:rsid w:val="001B7017"/>
    <w:rsid w:val="001E10D7"/>
    <w:rsid w:val="001E44FD"/>
    <w:rsid w:val="001E64E2"/>
    <w:rsid w:val="001F466B"/>
    <w:rsid w:val="00207107"/>
    <w:rsid w:val="002254D4"/>
    <w:rsid w:val="0023393B"/>
    <w:rsid w:val="002560F5"/>
    <w:rsid w:val="00264F26"/>
    <w:rsid w:val="00266F14"/>
    <w:rsid w:val="00267171"/>
    <w:rsid w:val="00267ADC"/>
    <w:rsid w:val="00267EB2"/>
    <w:rsid w:val="00270199"/>
    <w:rsid w:val="00272B14"/>
    <w:rsid w:val="0027677A"/>
    <w:rsid w:val="00280406"/>
    <w:rsid w:val="00280709"/>
    <w:rsid w:val="002A7A25"/>
    <w:rsid w:val="002B11F4"/>
    <w:rsid w:val="002C3854"/>
    <w:rsid w:val="002C39C8"/>
    <w:rsid w:val="002C3DF9"/>
    <w:rsid w:val="002C50BE"/>
    <w:rsid w:val="002D3649"/>
    <w:rsid w:val="002D5EBF"/>
    <w:rsid w:val="002E2F48"/>
    <w:rsid w:val="002F1BC7"/>
    <w:rsid w:val="002F6605"/>
    <w:rsid w:val="0031158F"/>
    <w:rsid w:val="00324B8B"/>
    <w:rsid w:val="0034289E"/>
    <w:rsid w:val="0034758A"/>
    <w:rsid w:val="00347838"/>
    <w:rsid w:val="00350A45"/>
    <w:rsid w:val="00361017"/>
    <w:rsid w:val="00361929"/>
    <w:rsid w:val="00365A43"/>
    <w:rsid w:val="003712E1"/>
    <w:rsid w:val="003712E9"/>
    <w:rsid w:val="00375E84"/>
    <w:rsid w:val="003920E9"/>
    <w:rsid w:val="003B3520"/>
    <w:rsid w:val="003C2E4C"/>
    <w:rsid w:val="003D2CC5"/>
    <w:rsid w:val="003E3045"/>
    <w:rsid w:val="003E7A67"/>
    <w:rsid w:val="003F3822"/>
    <w:rsid w:val="003F5A40"/>
    <w:rsid w:val="00407A69"/>
    <w:rsid w:val="004125D4"/>
    <w:rsid w:val="004142E3"/>
    <w:rsid w:val="00423629"/>
    <w:rsid w:val="004271F2"/>
    <w:rsid w:val="00441112"/>
    <w:rsid w:val="004555A1"/>
    <w:rsid w:val="00461EA1"/>
    <w:rsid w:val="004621AA"/>
    <w:rsid w:val="00467FE7"/>
    <w:rsid w:val="004701B4"/>
    <w:rsid w:val="00473BEF"/>
    <w:rsid w:val="004748FB"/>
    <w:rsid w:val="00475050"/>
    <w:rsid w:val="00477AF6"/>
    <w:rsid w:val="00485677"/>
    <w:rsid w:val="004A1309"/>
    <w:rsid w:val="004B0DB2"/>
    <w:rsid w:val="004B79BE"/>
    <w:rsid w:val="004C00E3"/>
    <w:rsid w:val="004C3EEA"/>
    <w:rsid w:val="004C65A6"/>
    <w:rsid w:val="004D5A86"/>
    <w:rsid w:val="004E390E"/>
    <w:rsid w:val="004E3E2D"/>
    <w:rsid w:val="004E54C6"/>
    <w:rsid w:val="004E7A8E"/>
    <w:rsid w:val="004F1988"/>
    <w:rsid w:val="00503570"/>
    <w:rsid w:val="0052289C"/>
    <w:rsid w:val="0054242A"/>
    <w:rsid w:val="00547C0C"/>
    <w:rsid w:val="005514FB"/>
    <w:rsid w:val="00557FFA"/>
    <w:rsid w:val="0056503C"/>
    <w:rsid w:val="00575BB9"/>
    <w:rsid w:val="005760DC"/>
    <w:rsid w:val="005825C8"/>
    <w:rsid w:val="0058480F"/>
    <w:rsid w:val="005905B0"/>
    <w:rsid w:val="00594035"/>
    <w:rsid w:val="005A3BCF"/>
    <w:rsid w:val="005C3EA0"/>
    <w:rsid w:val="005C5C27"/>
    <w:rsid w:val="005C6F02"/>
    <w:rsid w:val="005C7271"/>
    <w:rsid w:val="005E0E16"/>
    <w:rsid w:val="005F0232"/>
    <w:rsid w:val="00606360"/>
    <w:rsid w:val="006143EB"/>
    <w:rsid w:val="00621A6D"/>
    <w:rsid w:val="00632EED"/>
    <w:rsid w:val="00636533"/>
    <w:rsid w:val="0065594F"/>
    <w:rsid w:val="00661570"/>
    <w:rsid w:val="00680072"/>
    <w:rsid w:val="00685FFD"/>
    <w:rsid w:val="00690C85"/>
    <w:rsid w:val="006910D1"/>
    <w:rsid w:val="006954C9"/>
    <w:rsid w:val="006A135E"/>
    <w:rsid w:val="006A7FD2"/>
    <w:rsid w:val="006B1CE4"/>
    <w:rsid w:val="006B31FE"/>
    <w:rsid w:val="006B769C"/>
    <w:rsid w:val="006C0828"/>
    <w:rsid w:val="006D1BE7"/>
    <w:rsid w:val="006D3C46"/>
    <w:rsid w:val="006E7517"/>
    <w:rsid w:val="006F0274"/>
    <w:rsid w:val="006F2220"/>
    <w:rsid w:val="006F3174"/>
    <w:rsid w:val="007207BF"/>
    <w:rsid w:val="00722868"/>
    <w:rsid w:val="007244D7"/>
    <w:rsid w:val="00726B00"/>
    <w:rsid w:val="007330F3"/>
    <w:rsid w:val="00733EF7"/>
    <w:rsid w:val="00737053"/>
    <w:rsid w:val="00745FD3"/>
    <w:rsid w:val="007562EC"/>
    <w:rsid w:val="00762C6D"/>
    <w:rsid w:val="00763326"/>
    <w:rsid w:val="007645A4"/>
    <w:rsid w:val="00774888"/>
    <w:rsid w:val="00780EBB"/>
    <w:rsid w:val="007861ED"/>
    <w:rsid w:val="00790E64"/>
    <w:rsid w:val="00797BC5"/>
    <w:rsid w:val="007A4B42"/>
    <w:rsid w:val="007A6DE4"/>
    <w:rsid w:val="007B5D89"/>
    <w:rsid w:val="007D0D0D"/>
    <w:rsid w:val="007F1E18"/>
    <w:rsid w:val="007F6A25"/>
    <w:rsid w:val="00805015"/>
    <w:rsid w:val="008056D8"/>
    <w:rsid w:val="00810196"/>
    <w:rsid w:val="00822BE7"/>
    <w:rsid w:val="00824D4C"/>
    <w:rsid w:val="00827A2C"/>
    <w:rsid w:val="00833F55"/>
    <w:rsid w:val="00834347"/>
    <w:rsid w:val="00834BE8"/>
    <w:rsid w:val="00846935"/>
    <w:rsid w:val="008472C9"/>
    <w:rsid w:val="00850F91"/>
    <w:rsid w:val="00851DB9"/>
    <w:rsid w:val="00857E93"/>
    <w:rsid w:val="00863CFA"/>
    <w:rsid w:val="00894937"/>
    <w:rsid w:val="00895941"/>
    <w:rsid w:val="00896E02"/>
    <w:rsid w:val="008A2A9B"/>
    <w:rsid w:val="008A5976"/>
    <w:rsid w:val="008A5F7B"/>
    <w:rsid w:val="008B2098"/>
    <w:rsid w:val="008B5ED1"/>
    <w:rsid w:val="008C6CB6"/>
    <w:rsid w:val="008C7D14"/>
    <w:rsid w:val="008D062A"/>
    <w:rsid w:val="008D75BA"/>
    <w:rsid w:val="008E0878"/>
    <w:rsid w:val="008E594A"/>
    <w:rsid w:val="008F10C4"/>
    <w:rsid w:val="009079D1"/>
    <w:rsid w:val="009237BE"/>
    <w:rsid w:val="00930D88"/>
    <w:rsid w:val="00935060"/>
    <w:rsid w:val="00950AD5"/>
    <w:rsid w:val="0095459D"/>
    <w:rsid w:val="009553C9"/>
    <w:rsid w:val="00957D26"/>
    <w:rsid w:val="00961DB6"/>
    <w:rsid w:val="00964C8F"/>
    <w:rsid w:val="009744F1"/>
    <w:rsid w:val="00984609"/>
    <w:rsid w:val="009871C4"/>
    <w:rsid w:val="00993FA5"/>
    <w:rsid w:val="009A028B"/>
    <w:rsid w:val="009A3333"/>
    <w:rsid w:val="009A49C9"/>
    <w:rsid w:val="009A63C9"/>
    <w:rsid w:val="009B271A"/>
    <w:rsid w:val="009B3E94"/>
    <w:rsid w:val="009B6BE8"/>
    <w:rsid w:val="009B7E0E"/>
    <w:rsid w:val="009C0876"/>
    <w:rsid w:val="009D1F3C"/>
    <w:rsid w:val="009E1FB6"/>
    <w:rsid w:val="009E5629"/>
    <w:rsid w:val="009E5E62"/>
    <w:rsid w:val="009F0721"/>
    <w:rsid w:val="009F29B0"/>
    <w:rsid w:val="00A06708"/>
    <w:rsid w:val="00A11A9C"/>
    <w:rsid w:val="00A22B14"/>
    <w:rsid w:val="00A26B09"/>
    <w:rsid w:val="00A3671A"/>
    <w:rsid w:val="00A508B6"/>
    <w:rsid w:val="00A6434E"/>
    <w:rsid w:val="00A737A1"/>
    <w:rsid w:val="00A805B9"/>
    <w:rsid w:val="00A838E2"/>
    <w:rsid w:val="00A951CC"/>
    <w:rsid w:val="00A951FB"/>
    <w:rsid w:val="00AA3358"/>
    <w:rsid w:val="00AB6FD3"/>
    <w:rsid w:val="00AC3FE5"/>
    <w:rsid w:val="00AC65DE"/>
    <w:rsid w:val="00AE0DDF"/>
    <w:rsid w:val="00AE413E"/>
    <w:rsid w:val="00AF7B7F"/>
    <w:rsid w:val="00B03D08"/>
    <w:rsid w:val="00B135D9"/>
    <w:rsid w:val="00B27D6B"/>
    <w:rsid w:val="00B27FC1"/>
    <w:rsid w:val="00B40F86"/>
    <w:rsid w:val="00B42E25"/>
    <w:rsid w:val="00B43C19"/>
    <w:rsid w:val="00B50EFC"/>
    <w:rsid w:val="00B523DB"/>
    <w:rsid w:val="00B524E4"/>
    <w:rsid w:val="00B52A38"/>
    <w:rsid w:val="00B6708D"/>
    <w:rsid w:val="00B836FC"/>
    <w:rsid w:val="00B84057"/>
    <w:rsid w:val="00B85F2A"/>
    <w:rsid w:val="00B9510E"/>
    <w:rsid w:val="00B95371"/>
    <w:rsid w:val="00BA2C31"/>
    <w:rsid w:val="00BA64AF"/>
    <w:rsid w:val="00BB304A"/>
    <w:rsid w:val="00BB3FEB"/>
    <w:rsid w:val="00BD0F26"/>
    <w:rsid w:val="00BD12C2"/>
    <w:rsid w:val="00BD31C1"/>
    <w:rsid w:val="00BD51D6"/>
    <w:rsid w:val="00BE6E73"/>
    <w:rsid w:val="00BE756E"/>
    <w:rsid w:val="00BF0C29"/>
    <w:rsid w:val="00BF4057"/>
    <w:rsid w:val="00BF5A9E"/>
    <w:rsid w:val="00C043BB"/>
    <w:rsid w:val="00C06A9B"/>
    <w:rsid w:val="00C12513"/>
    <w:rsid w:val="00C1616D"/>
    <w:rsid w:val="00C27187"/>
    <w:rsid w:val="00C46C22"/>
    <w:rsid w:val="00C73380"/>
    <w:rsid w:val="00C739BA"/>
    <w:rsid w:val="00C8377F"/>
    <w:rsid w:val="00C847D6"/>
    <w:rsid w:val="00C917C9"/>
    <w:rsid w:val="00CA4420"/>
    <w:rsid w:val="00CA55CD"/>
    <w:rsid w:val="00CB5626"/>
    <w:rsid w:val="00CC3D19"/>
    <w:rsid w:val="00CC594F"/>
    <w:rsid w:val="00CC6F89"/>
    <w:rsid w:val="00D4403A"/>
    <w:rsid w:val="00D463D9"/>
    <w:rsid w:val="00D6154C"/>
    <w:rsid w:val="00D6316C"/>
    <w:rsid w:val="00D6567C"/>
    <w:rsid w:val="00D73A93"/>
    <w:rsid w:val="00D7532F"/>
    <w:rsid w:val="00D85D09"/>
    <w:rsid w:val="00DC571A"/>
    <w:rsid w:val="00DD0859"/>
    <w:rsid w:val="00DE3E1E"/>
    <w:rsid w:val="00DF01F2"/>
    <w:rsid w:val="00DF37F8"/>
    <w:rsid w:val="00E003CE"/>
    <w:rsid w:val="00E12A34"/>
    <w:rsid w:val="00E24971"/>
    <w:rsid w:val="00E335A7"/>
    <w:rsid w:val="00E356D7"/>
    <w:rsid w:val="00E53FF6"/>
    <w:rsid w:val="00E56A6F"/>
    <w:rsid w:val="00E84B14"/>
    <w:rsid w:val="00E938E8"/>
    <w:rsid w:val="00EA15BC"/>
    <w:rsid w:val="00EA6772"/>
    <w:rsid w:val="00EA6C72"/>
    <w:rsid w:val="00EA7F36"/>
    <w:rsid w:val="00EB52E7"/>
    <w:rsid w:val="00ED19FA"/>
    <w:rsid w:val="00ED2EC3"/>
    <w:rsid w:val="00EE36CA"/>
    <w:rsid w:val="00EF0CEE"/>
    <w:rsid w:val="00EF2901"/>
    <w:rsid w:val="00F03308"/>
    <w:rsid w:val="00F117B3"/>
    <w:rsid w:val="00F32531"/>
    <w:rsid w:val="00F36EE7"/>
    <w:rsid w:val="00F402A0"/>
    <w:rsid w:val="00F45093"/>
    <w:rsid w:val="00F57CE4"/>
    <w:rsid w:val="00F70473"/>
    <w:rsid w:val="00F71367"/>
    <w:rsid w:val="00F7427E"/>
    <w:rsid w:val="00F76EF6"/>
    <w:rsid w:val="00F80E33"/>
    <w:rsid w:val="00F83DCA"/>
    <w:rsid w:val="00F86378"/>
    <w:rsid w:val="00F906C3"/>
    <w:rsid w:val="00F91D8B"/>
    <w:rsid w:val="00F94309"/>
    <w:rsid w:val="00FA3DA4"/>
    <w:rsid w:val="00FA422F"/>
    <w:rsid w:val="00FA6C93"/>
    <w:rsid w:val="00FB4DA2"/>
    <w:rsid w:val="00FC3894"/>
    <w:rsid w:val="00FC400C"/>
    <w:rsid w:val="00FC48E4"/>
    <w:rsid w:val="00FD27A4"/>
    <w:rsid w:val="0589ACDB"/>
    <w:rsid w:val="0662BC88"/>
    <w:rsid w:val="0B6B8163"/>
    <w:rsid w:val="103CBEED"/>
    <w:rsid w:val="136142CD"/>
    <w:rsid w:val="1565D1B3"/>
    <w:rsid w:val="2832EFC0"/>
    <w:rsid w:val="32D6ABDE"/>
    <w:rsid w:val="3300F02C"/>
    <w:rsid w:val="33165C7B"/>
    <w:rsid w:val="3A56CB75"/>
    <w:rsid w:val="5DB9761E"/>
    <w:rsid w:val="6BE85F0B"/>
    <w:rsid w:val="717C8673"/>
    <w:rsid w:val="720CABC5"/>
    <w:rsid w:val="7B3A8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EA953"/>
  <w15:docId w15:val="{AC73D3EA-CEDA-47BF-8AEF-441CF8D9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widowControl w:val="0"/>
      <w:ind w:left="461"/>
      <w:outlineLvl w:val="0"/>
    </w:pPr>
    <w:rPr>
      <w:rFonts w:ascii="Times New Roman" w:eastAsia="Times New Roman" w:hAnsi="Times New Roman"/>
      <w:lang w:val="en-US"/>
    </w:rPr>
  </w:style>
  <w:style w:type="paragraph" w:styleId="Heading3">
    <w:name w:val="heading 3"/>
    <w:basedOn w:val="Normal"/>
    <w:next w:val="Normal"/>
    <w:link w:val="Heading3Char"/>
    <w:uiPriority w:val="9"/>
    <w:semiHidden/>
    <w:unhideWhenUsed/>
    <w:qFormat/>
    <w:rsid w:val="00833F5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paragraph" w:styleId="Caption">
    <w:name w:val="caption"/>
    <w:basedOn w:val="Normal"/>
    <w:next w:val="Normal"/>
    <w:pPr>
      <w:jc w:val="center"/>
    </w:pPr>
    <w:rPr>
      <w:rFonts w:ascii="Times New Roman" w:eastAsia="Times New Roman" w:hAnsi="Times New Roman" w:cs="Times New Roman"/>
      <w:b/>
      <w:sz w:val="28"/>
      <w:szCs w:val="20"/>
      <w:lang w:eastAsia="lt-LT"/>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808080"/>
    </w:rPr>
  </w:style>
  <w:style w:type="character" w:customStyle="1" w:styleId="UnresolvedMention2">
    <w:name w:val="Unresolved Mention2"/>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NoSpacing">
    <w:name w:val="No Spacing"/>
    <w:pPr>
      <w:suppressAutoHyphens/>
    </w:pPr>
    <w:rPr>
      <w:rFonts w:eastAsia="Yu Mincho"/>
      <w:sz w:val="22"/>
      <w:szCs w:val="22"/>
      <w:lang w:eastAsia="lt-LT"/>
    </w:rPr>
  </w:style>
  <w:style w:type="character" w:customStyle="1" w:styleId="BodyTextChar">
    <w:name w:val="Body Text Char"/>
    <w:basedOn w:val="DefaultParagraphFont"/>
    <w:rPr>
      <w:rFonts w:ascii="Times New Roman" w:eastAsia="Times New Roman" w:hAnsi="Times New Roman" w:cs="Times New Roman"/>
      <w:shd w:val="clear" w:color="auto" w:fill="FFFFFF"/>
    </w:rPr>
  </w:style>
  <w:style w:type="character" w:customStyle="1" w:styleId="Headerorfooter2">
    <w:name w:val="Header or footer (2)_"/>
    <w:basedOn w:val="DefaultParagraphFont"/>
    <w:rPr>
      <w:rFonts w:ascii="Times New Roman" w:eastAsia="Times New Roman" w:hAnsi="Times New Roman" w:cs="Times New Roman"/>
      <w:sz w:val="20"/>
      <w:szCs w:val="20"/>
      <w:shd w:val="clear" w:color="auto" w:fill="FFFFFF"/>
      <w:lang w:val="en-US" w:bidi="en-US"/>
    </w:rPr>
  </w:style>
  <w:style w:type="character" w:customStyle="1" w:styleId="Tablecaption">
    <w:name w:val="Table caption_"/>
    <w:basedOn w:val="DefaultParagraphFont"/>
    <w:rPr>
      <w:rFonts w:ascii="Times New Roman" w:eastAsia="Times New Roman" w:hAnsi="Times New Roman" w:cs="Times New Roman"/>
      <w:sz w:val="16"/>
      <w:szCs w:val="16"/>
      <w:shd w:val="clear" w:color="auto" w:fill="FFFFFF"/>
    </w:rPr>
  </w:style>
  <w:style w:type="character" w:customStyle="1" w:styleId="Other">
    <w:name w:val="Other_"/>
    <w:basedOn w:val="DefaultParagraphFont"/>
    <w:rPr>
      <w:rFonts w:ascii="Times New Roman" w:eastAsia="Times New Roman" w:hAnsi="Times New Roman" w:cs="Times New Roman"/>
      <w:shd w:val="clear" w:color="auto" w:fill="FFFFFF"/>
    </w:rPr>
  </w:style>
  <w:style w:type="character" w:customStyle="1" w:styleId="Bodytext3">
    <w:name w:val="Body text (3)_"/>
    <w:basedOn w:val="DefaultParagraphFont"/>
    <w:rPr>
      <w:rFonts w:ascii="Times New Roman" w:eastAsia="Times New Roman" w:hAnsi="Times New Roman" w:cs="Times New Roman"/>
      <w:sz w:val="20"/>
      <w:szCs w:val="20"/>
      <w:shd w:val="clear" w:color="auto" w:fill="FFFFFF"/>
      <w:lang w:val="en-US" w:bidi="en-US"/>
    </w:rPr>
  </w:style>
  <w:style w:type="character" w:customStyle="1" w:styleId="Bodytext2">
    <w:name w:val="Body text (2)_"/>
    <w:basedOn w:val="DefaultParagraphFont"/>
    <w:rPr>
      <w:rFonts w:ascii="Times New Roman" w:eastAsia="Times New Roman" w:hAnsi="Times New Roman" w:cs="Times New Roman"/>
      <w:sz w:val="16"/>
      <w:szCs w:val="16"/>
      <w:shd w:val="clear" w:color="auto" w:fill="FFFFFF"/>
      <w:lang w:val="en-US" w:bidi="en-US"/>
    </w:rPr>
  </w:style>
  <w:style w:type="paragraph" w:styleId="BodyText">
    <w:name w:val="Body Text"/>
    <w:basedOn w:val="Normal"/>
    <w:pPr>
      <w:widowControl w:val="0"/>
      <w:shd w:val="clear" w:color="auto" w:fill="FFFFFF"/>
      <w:ind w:firstLine="400"/>
    </w:pPr>
    <w:rPr>
      <w:rFonts w:ascii="Times New Roman" w:eastAsia="Times New Roman" w:hAnsi="Times New Roman" w:cs="Times New Roman"/>
    </w:rPr>
  </w:style>
  <w:style w:type="character" w:customStyle="1" w:styleId="BodyTextChar1">
    <w:name w:val="Body Text Char1"/>
    <w:basedOn w:val="DefaultParagraphFont"/>
  </w:style>
  <w:style w:type="paragraph" w:customStyle="1" w:styleId="Headerorfooter20">
    <w:name w:val="Header or footer (2)"/>
    <w:basedOn w:val="Normal"/>
    <w:pPr>
      <w:widowControl w:val="0"/>
      <w:shd w:val="clear" w:color="auto" w:fill="FFFFFF"/>
    </w:pPr>
    <w:rPr>
      <w:rFonts w:ascii="Times New Roman" w:eastAsia="Times New Roman" w:hAnsi="Times New Roman" w:cs="Times New Roman"/>
      <w:sz w:val="20"/>
      <w:szCs w:val="20"/>
      <w:lang w:val="en-US" w:bidi="en-US"/>
    </w:rPr>
  </w:style>
  <w:style w:type="paragraph" w:customStyle="1" w:styleId="Tablecaption0">
    <w:name w:val="Table caption"/>
    <w:basedOn w:val="Normal"/>
    <w:pPr>
      <w:widowControl w:val="0"/>
      <w:shd w:val="clear" w:color="auto" w:fill="FFFFFF"/>
    </w:pPr>
    <w:rPr>
      <w:rFonts w:ascii="Times New Roman" w:eastAsia="Times New Roman" w:hAnsi="Times New Roman" w:cs="Times New Roman"/>
      <w:sz w:val="16"/>
      <w:szCs w:val="16"/>
    </w:rPr>
  </w:style>
  <w:style w:type="paragraph" w:customStyle="1" w:styleId="Other0">
    <w:name w:val="Other"/>
    <w:basedOn w:val="Normal"/>
    <w:pPr>
      <w:widowControl w:val="0"/>
      <w:shd w:val="clear" w:color="auto" w:fill="FFFFFF"/>
      <w:ind w:firstLine="400"/>
    </w:pPr>
    <w:rPr>
      <w:rFonts w:ascii="Times New Roman" w:eastAsia="Times New Roman" w:hAnsi="Times New Roman" w:cs="Times New Roman"/>
    </w:rPr>
  </w:style>
  <w:style w:type="paragraph" w:customStyle="1" w:styleId="Bodytext30">
    <w:name w:val="Body text (3)"/>
    <w:basedOn w:val="Normal"/>
    <w:pPr>
      <w:widowControl w:val="0"/>
      <w:shd w:val="clear" w:color="auto" w:fill="FFFFFF"/>
      <w:spacing w:after="120"/>
    </w:pPr>
    <w:rPr>
      <w:rFonts w:ascii="Times New Roman" w:eastAsia="Times New Roman" w:hAnsi="Times New Roman" w:cs="Times New Roman"/>
      <w:sz w:val="20"/>
      <w:szCs w:val="20"/>
      <w:lang w:val="en-US" w:bidi="en-US"/>
    </w:rPr>
  </w:style>
  <w:style w:type="paragraph" w:customStyle="1" w:styleId="Bodytext20">
    <w:name w:val="Body text (2)"/>
    <w:basedOn w:val="Normal"/>
    <w:pPr>
      <w:widowControl w:val="0"/>
      <w:shd w:val="clear" w:color="auto" w:fill="FFFFFF"/>
    </w:pPr>
    <w:rPr>
      <w:rFonts w:ascii="Times New Roman" w:eastAsia="Times New Roman" w:hAnsi="Times New Roman" w:cs="Times New Roman"/>
      <w:sz w:val="16"/>
      <w:szCs w:val="16"/>
      <w:lang w:val="en-US" w:bidi="en-US"/>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Times New Roman" w:eastAsia="Times New Roman" w:hAnsi="Times New Roman"/>
      <w:lang w:val="en-US"/>
    </w:rPr>
  </w:style>
  <w:style w:type="paragraph" w:customStyle="1" w:styleId="TableParagraph">
    <w:name w:val="Table Paragraph"/>
    <w:basedOn w:val="Normal"/>
    <w:pPr>
      <w:widowControl w:val="0"/>
    </w:pPr>
    <w:rPr>
      <w:sz w:val="22"/>
      <w:szCs w:val="22"/>
      <w:lang w:val="en-US"/>
    </w:rPr>
  </w:style>
  <w:style w:type="character" w:styleId="FollowedHyperlink">
    <w:name w:val="FollowedHyperlink"/>
    <w:basedOn w:val="DefaultParagraphFont"/>
    <w:rPr>
      <w:color w:val="954F72"/>
      <w:u w:val="single"/>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BB3FEB"/>
    <w:rPr>
      <w:b/>
      <w:bCs/>
    </w:rPr>
  </w:style>
  <w:style w:type="character" w:customStyle="1" w:styleId="CommentSubjectChar1">
    <w:name w:val="Comment Subject Char1"/>
    <w:basedOn w:val="CommentTextChar1"/>
    <w:link w:val="CommentSubject"/>
    <w:uiPriority w:val="99"/>
    <w:semiHidden/>
    <w:rsid w:val="00BB3FEB"/>
    <w:rPr>
      <w:b/>
      <w:bCs/>
      <w:sz w:val="20"/>
      <w:szCs w:val="20"/>
    </w:rPr>
  </w:style>
  <w:style w:type="paragraph" w:customStyle="1" w:styleId="tajtip">
    <w:name w:val="tajtip"/>
    <w:basedOn w:val="Normal"/>
    <w:rsid w:val="003E7A67"/>
    <w:pPr>
      <w:suppressAutoHyphens w:val="0"/>
      <w:autoSpaceDN/>
      <w:spacing w:before="100" w:beforeAutospacing="1" w:after="100" w:afterAutospacing="1"/>
    </w:pPr>
    <w:rPr>
      <w:rFonts w:ascii="Times New Roman" w:eastAsia="Times New Roman" w:hAnsi="Times New Roman" w:cs="Times New Roman"/>
      <w:lang w:eastAsia="lt-LT"/>
    </w:rPr>
  </w:style>
  <w:style w:type="paragraph" w:customStyle="1" w:styleId="paragraph">
    <w:name w:val="paragraph"/>
    <w:basedOn w:val="Normal"/>
    <w:rsid w:val="00D6567C"/>
    <w:pPr>
      <w:suppressAutoHyphens w:val="0"/>
      <w:autoSpaceDN/>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D6567C"/>
  </w:style>
  <w:style w:type="character" w:customStyle="1" w:styleId="eop">
    <w:name w:val="eop"/>
    <w:basedOn w:val="DefaultParagraphFont"/>
    <w:rsid w:val="00D6567C"/>
  </w:style>
  <w:style w:type="paragraph" w:styleId="Revision">
    <w:name w:val="Revision"/>
    <w:hidden/>
    <w:uiPriority w:val="99"/>
    <w:semiHidden/>
    <w:rsid w:val="00D6567C"/>
    <w:pPr>
      <w:autoSpaceDN/>
    </w:pPr>
  </w:style>
  <w:style w:type="paragraph" w:styleId="EndnoteText">
    <w:name w:val="endnote text"/>
    <w:basedOn w:val="Normal"/>
    <w:link w:val="EndnoteTextChar"/>
    <w:uiPriority w:val="99"/>
    <w:semiHidden/>
    <w:unhideWhenUsed/>
    <w:rsid w:val="00BD0F26"/>
    <w:rPr>
      <w:sz w:val="20"/>
      <w:szCs w:val="20"/>
    </w:rPr>
  </w:style>
  <w:style w:type="character" w:customStyle="1" w:styleId="EndnoteTextChar">
    <w:name w:val="Endnote Text Char"/>
    <w:basedOn w:val="DefaultParagraphFont"/>
    <w:link w:val="EndnoteText"/>
    <w:uiPriority w:val="99"/>
    <w:semiHidden/>
    <w:rsid w:val="00BD0F26"/>
    <w:rPr>
      <w:sz w:val="20"/>
      <w:szCs w:val="20"/>
    </w:rPr>
  </w:style>
  <w:style w:type="character" w:styleId="EndnoteReference">
    <w:name w:val="endnote reference"/>
    <w:basedOn w:val="DefaultParagraphFont"/>
    <w:uiPriority w:val="99"/>
    <w:semiHidden/>
    <w:unhideWhenUsed/>
    <w:rsid w:val="00BD0F26"/>
    <w:rPr>
      <w:vertAlign w:val="superscript"/>
    </w:rPr>
  </w:style>
  <w:style w:type="table" w:customStyle="1" w:styleId="TableGrid1">
    <w:name w:val="Table Grid1"/>
    <w:basedOn w:val="TableNormal"/>
    <w:next w:val="TableGrid"/>
    <w:uiPriority w:val="39"/>
    <w:rsid w:val="00722868"/>
    <w:pPr>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text--selectable">
    <w:name w:val="app-text--selectable"/>
    <w:basedOn w:val="DefaultParagraphFont"/>
    <w:rsid w:val="000C4D58"/>
  </w:style>
  <w:style w:type="paragraph" w:styleId="NormalWeb">
    <w:name w:val="Normal (Web)"/>
    <w:basedOn w:val="Normal"/>
    <w:uiPriority w:val="99"/>
    <w:semiHidden/>
    <w:unhideWhenUsed/>
    <w:rsid w:val="00733EF7"/>
    <w:pPr>
      <w:suppressAutoHyphens w:val="0"/>
      <w:autoSpaceDN/>
      <w:spacing w:before="100" w:beforeAutospacing="1" w:after="100" w:afterAutospacing="1"/>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833F5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62762">
      <w:bodyDiv w:val="1"/>
      <w:marLeft w:val="0"/>
      <w:marRight w:val="0"/>
      <w:marTop w:val="0"/>
      <w:marBottom w:val="0"/>
      <w:divBdr>
        <w:top w:val="none" w:sz="0" w:space="0" w:color="auto"/>
        <w:left w:val="none" w:sz="0" w:space="0" w:color="auto"/>
        <w:bottom w:val="none" w:sz="0" w:space="0" w:color="auto"/>
        <w:right w:val="none" w:sz="0" w:space="0" w:color="auto"/>
      </w:divBdr>
    </w:div>
    <w:div w:id="377362283">
      <w:bodyDiv w:val="1"/>
      <w:marLeft w:val="0"/>
      <w:marRight w:val="0"/>
      <w:marTop w:val="0"/>
      <w:marBottom w:val="0"/>
      <w:divBdr>
        <w:top w:val="none" w:sz="0" w:space="0" w:color="auto"/>
        <w:left w:val="none" w:sz="0" w:space="0" w:color="auto"/>
        <w:bottom w:val="none" w:sz="0" w:space="0" w:color="auto"/>
        <w:right w:val="none" w:sz="0" w:space="0" w:color="auto"/>
      </w:divBdr>
    </w:div>
    <w:div w:id="426996786">
      <w:bodyDiv w:val="1"/>
      <w:marLeft w:val="0"/>
      <w:marRight w:val="0"/>
      <w:marTop w:val="0"/>
      <w:marBottom w:val="0"/>
      <w:divBdr>
        <w:top w:val="none" w:sz="0" w:space="0" w:color="auto"/>
        <w:left w:val="none" w:sz="0" w:space="0" w:color="auto"/>
        <w:bottom w:val="none" w:sz="0" w:space="0" w:color="auto"/>
        <w:right w:val="none" w:sz="0" w:space="0" w:color="auto"/>
      </w:divBdr>
    </w:div>
    <w:div w:id="714544337">
      <w:bodyDiv w:val="1"/>
      <w:marLeft w:val="0"/>
      <w:marRight w:val="0"/>
      <w:marTop w:val="0"/>
      <w:marBottom w:val="0"/>
      <w:divBdr>
        <w:top w:val="none" w:sz="0" w:space="0" w:color="auto"/>
        <w:left w:val="none" w:sz="0" w:space="0" w:color="auto"/>
        <w:bottom w:val="none" w:sz="0" w:space="0" w:color="auto"/>
        <w:right w:val="none" w:sz="0" w:space="0" w:color="auto"/>
      </w:divBdr>
    </w:div>
    <w:div w:id="818962073">
      <w:bodyDiv w:val="1"/>
      <w:marLeft w:val="0"/>
      <w:marRight w:val="0"/>
      <w:marTop w:val="0"/>
      <w:marBottom w:val="0"/>
      <w:divBdr>
        <w:top w:val="none" w:sz="0" w:space="0" w:color="auto"/>
        <w:left w:val="none" w:sz="0" w:space="0" w:color="auto"/>
        <w:bottom w:val="none" w:sz="0" w:space="0" w:color="auto"/>
        <w:right w:val="none" w:sz="0" w:space="0" w:color="auto"/>
      </w:divBdr>
      <w:divsChild>
        <w:div w:id="1827085002">
          <w:marLeft w:val="0"/>
          <w:marRight w:val="0"/>
          <w:marTop w:val="0"/>
          <w:marBottom w:val="0"/>
          <w:divBdr>
            <w:top w:val="none" w:sz="0" w:space="0" w:color="auto"/>
            <w:left w:val="none" w:sz="0" w:space="0" w:color="auto"/>
            <w:bottom w:val="none" w:sz="0" w:space="0" w:color="auto"/>
            <w:right w:val="none" w:sz="0" w:space="0" w:color="auto"/>
          </w:divBdr>
        </w:div>
        <w:div w:id="1364482823">
          <w:marLeft w:val="0"/>
          <w:marRight w:val="0"/>
          <w:marTop w:val="0"/>
          <w:marBottom w:val="0"/>
          <w:divBdr>
            <w:top w:val="none" w:sz="0" w:space="0" w:color="auto"/>
            <w:left w:val="none" w:sz="0" w:space="0" w:color="auto"/>
            <w:bottom w:val="none" w:sz="0" w:space="0" w:color="auto"/>
            <w:right w:val="none" w:sz="0" w:space="0" w:color="auto"/>
          </w:divBdr>
        </w:div>
      </w:divsChild>
    </w:div>
    <w:div w:id="1192572492">
      <w:bodyDiv w:val="1"/>
      <w:marLeft w:val="0"/>
      <w:marRight w:val="0"/>
      <w:marTop w:val="0"/>
      <w:marBottom w:val="0"/>
      <w:divBdr>
        <w:top w:val="none" w:sz="0" w:space="0" w:color="auto"/>
        <w:left w:val="none" w:sz="0" w:space="0" w:color="auto"/>
        <w:bottom w:val="none" w:sz="0" w:space="0" w:color="auto"/>
        <w:right w:val="none" w:sz="0" w:space="0" w:color="auto"/>
      </w:divBdr>
    </w:div>
    <w:div w:id="1297182170">
      <w:bodyDiv w:val="1"/>
      <w:marLeft w:val="0"/>
      <w:marRight w:val="0"/>
      <w:marTop w:val="0"/>
      <w:marBottom w:val="0"/>
      <w:divBdr>
        <w:top w:val="none" w:sz="0" w:space="0" w:color="auto"/>
        <w:left w:val="none" w:sz="0" w:space="0" w:color="auto"/>
        <w:bottom w:val="none" w:sz="0" w:space="0" w:color="auto"/>
        <w:right w:val="none" w:sz="0" w:space="0" w:color="auto"/>
      </w:divBdr>
    </w:div>
    <w:div w:id="19174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Props1.xml><?xml version="1.0" encoding="utf-8"?>
<ds:datastoreItem xmlns:ds="http://schemas.openxmlformats.org/officeDocument/2006/customXml" ds:itemID="{DD8893CC-B893-47F0-B77F-A0FEBC6B5080}">
  <ds:schemaRefs>
    <ds:schemaRef ds:uri="http://schemas.microsoft.com/sharepoint/v3/contenttype/forms"/>
  </ds:schemaRefs>
</ds:datastoreItem>
</file>

<file path=customXml/itemProps2.xml><?xml version="1.0" encoding="utf-8"?>
<ds:datastoreItem xmlns:ds="http://schemas.openxmlformats.org/officeDocument/2006/customXml" ds:itemID="{F8D08D29-BB83-45F5-A188-33101A0A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754B9-BAC0-4390-B88C-A7AFCB83EEAD}">
  <ds:schemaRefs>
    <ds:schemaRef ds:uri="http://schemas.openxmlformats.org/officeDocument/2006/bibliography"/>
  </ds:schemaRefs>
</ds:datastoreItem>
</file>

<file path=customXml/itemProps4.xml><?xml version="1.0" encoding="utf-8"?>
<ds:datastoreItem xmlns:ds="http://schemas.openxmlformats.org/officeDocument/2006/customXml" ds:itemID="{F875226F-5F18-47A5-8CF2-71F40FE22347}">
  <ds:schemaRefs>
    <ds:schemaRef ds:uri="http://schemas.microsoft.com/office/2006/metadata/properties"/>
    <ds:schemaRef ds:uri="http://schemas.microsoft.com/office/infopath/2007/PartnerControls"/>
    <ds:schemaRef ds:uri="4ae9fc73-507d-436b-8c26-17e8e79c87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2850</Words>
  <Characters>15877</Characters>
  <Application>Microsoft Office Word</Application>
  <DocSecurity>0</DocSecurity>
  <Lines>294</Lines>
  <Paragraphs>117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dc:description/>
  <cp:lastModifiedBy>Rimantas Vosylis</cp:lastModifiedBy>
  <cp:revision>2</cp:revision>
  <cp:lastPrinted>2021-06-03T09:08:00Z</cp:lastPrinted>
  <dcterms:created xsi:type="dcterms:W3CDTF">2026-02-24T15:50:00Z</dcterms:created>
  <dcterms:modified xsi:type="dcterms:W3CDTF">2026-02-24T15:50:00Z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