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E07D" w14:textId="77777777" w:rsidR="00722868" w:rsidRPr="00B42E25" w:rsidRDefault="00722868" w:rsidP="00B42E25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bookmarkStart w:id="0" w:name="_GoBack"/>
      <w:bookmarkEnd w:id="0"/>
      <w:r w:rsidRPr="00B42E25">
        <w:rPr>
          <w:rFonts w:ascii="Arial" w:eastAsia="Times New Roman" w:hAnsi="Arial"/>
          <w:bCs/>
          <w:sz w:val="20"/>
          <w:szCs w:val="20"/>
          <w:lang w:eastAsia="lt-LT"/>
        </w:rPr>
        <w:t xml:space="preserve">Forma patvirtinta </w:t>
      </w:r>
    </w:p>
    <w:p w14:paraId="26DF091B" w14:textId="77777777" w:rsidR="00722868" w:rsidRPr="00B42E25" w:rsidRDefault="00722868" w:rsidP="00B42E25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B42E25">
        <w:rPr>
          <w:rFonts w:ascii="Arial" w:eastAsia="Times New Roman" w:hAnsi="Arial"/>
          <w:bCs/>
          <w:sz w:val="20"/>
          <w:szCs w:val="20"/>
          <w:lang w:eastAsia="lt-LT"/>
        </w:rPr>
        <w:t>Mykolo Romerio universiteto rektoriaus</w:t>
      </w:r>
    </w:p>
    <w:p w14:paraId="556D27A6" w14:textId="254777E7" w:rsidR="00722868" w:rsidRPr="00B42E25" w:rsidRDefault="00722868" w:rsidP="32D6ABDE">
      <w:pPr>
        <w:ind w:left="5760"/>
        <w:jc w:val="both"/>
        <w:outlineLvl w:val="1"/>
        <w:rPr>
          <w:rFonts w:ascii="Arial" w:eastAsia="Times New Roman" w:hAnsi="Arial"/>
          <w:sz w:val="20"/>
          <w:szCs w:val="20"/>
          <w:lang w:eastAsia="lt-LT"/>
        </w:rPr>
      </w:pPr>
      <w:r w:rsidRPr="32D6ABDE">
        <w:rPr>
          <w:rFonts w:ascii="Arial" w:eastAsia="Times New Roman" w:hAnsi="Arial"/>
          <w:sz w:val="20"/>
          <w:szCs w:val="20"/>
          <w:lang w:eastAsia="lt-LT"/>
        </w:rPr>
        <w:t xml:space="preserve">2025 m. </w:t>
      </w:r>
      <w:r w:rsidR="2832EFC0" w:rsidRPr="32D6ABDE">
        <w:rPr>
          <w:rFonts w:ascii="Arial" w:eastAsia="Times New Roman" w:hAnsi="Arial"/>
          <w:sz w:val="20"/>
          <w:szCs w:val="20"/>
          <w:lang w:eastAsia="lt-LT"/>
        </w:rPr>
        <w:t>birželio</w:t>
      </w:r>
      <w:r w:rsidRPr="32D6ABDE">
        <w:rPr>
          <w:rFonts w:ascii="Arial" w:eastAsia="Times New Roman" w:hAnsi="Arial"/>
          <w:sz w:val="20"/>
          <w:szCs w:val="20"/>
          <w:lang w:eastAsia="lt-LT"/>
        </w:rPr>
        <w:t xml:space="preserve">     d. įsakymu Nr. 1I-</w:t>
      </w:r>
    </w:p>
    <w:p w14:paraId="3909BFC2" w14:textId="1E6404E9" w:rsidR="00722868" w:rsidRPr="00B42E25" w:rsidRDefault="00B42E25" w:rsidP="00B42E25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B42E25">
        <w:rPr>
          <w:rFonts w:ascii="Arial" w:eastAsia="Times New Roman" w:hAnsi="Arial"/>
          <w:bCs/>
          <w:sz w:val="20"/>
          <w:szCs w:val="20"/>
          <w:lang w:eastAsia="lt-LT"/>
        </w:rPr>
        <w:t>6</w:t>
      </w:r>
      <w:r w:rsidR="00722868" w:rsidRPr="00B42E25">
        <w:rPr>
          <w:rFonts w:ascii="Arial" w:eastAsia="Times New Roman" w:hAnsi="Arial"/>
          <w:bCs/>
          <w:sz w:val="20"/>
          <w:szCs w:val="20"/>
          <w:lang w:eastAsia="lt-LT"/>
        </w:rPr>
        <w:t xml:space="preserve"> priedas</w:t>
      </w:r>
    </w:p>
    <w:p w14:paraId="758DD594" w14:textId="77777777" w:rsidR="00B42E25" w:rsidRPr="00722868" w:rsidRDefault="00B42E25" w:rsidP="00722868">
      <w:pPr>
        <w:suppressAutoHyphens w:val="0"/>
        <w:autoSpaceDN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38960924" w14:textId="5DF271EF" w:rsidR="00722868" w:rsidRPr="00722868" w:rsidRDefault="00722868" w:rsidP="00722868">
      <w:pPr>
        <w:suppressAutoHyphens w:val="0"/>
        <w:autoSpaceDN/>
        <w:jc w:val="center"/>
        <w:rPr>
          <w:rFonts w:ascii="Arial" w:eastAsia="Times New Roman" w:hAnsi="Arial"/>
          <w:color w:val="000000"/>
        </w:rPr>
      </w:pPr>
      <w:r w:rsidRPr="00722868">
        <w:rPr>
          <w:rFonts w:ascii="Arial" w:eastAsia="Times New Roman" w:hAnsi="Arial"/>
          <w:b/>
          <w:bCs/>
          <w:color w:val="000000"/>
        </w:rPr>
        <w:t xml:space="preserve">MYKOLO ROMERIO UNIVERSITETO </w:t>
      </w:r>
    </w:p>
    <w:p w14:paraId="6EE97AD9" w14:textId="77777777" w:rsidR="00722868" w:rsidRPr="00722868" w:rsidRDefault="00722868" w:rsidP="00722868">
      <w:pPr>
        <w:suppressAutoHyphens w:val="0"/>
        <w:autoSpaceDN/>
        <w:jc w:val="center"/>
        <w:rPr>
          <w:rFonts w:ascii="Arial" w:eastAsia="Times New Roman" w:hAnsi="Arial"/>
          <w:i/>
          <w:color w:val="000000"/>
        </w:rPr>
      </w:pPr>
      <w:r w:rsidRPr="00722868">
        <w:rPr>
          <w:rFonts w:ascii="Arial" w:eastAsia="Times New Roman" w:hAnsi="Arial"/>
          <w:bCs/>
          <w:i/>
          <w:color w:val="000000"/>
        </w:rPr>
        <w:t>(</w:t>
      </w:r>
      <w:r w:rsidRPr="00722868">
        <w:rPr>
          <w:rFonts w:ascii="Arial" w:eastAsia="Times New Roman" w:hAnsi="Arial"/>
          <w:i/>
          <w:iCs/>
          <w:color w:val="000000"/>
        </w:rPr>
        <w:t>padalinio pavadinimas</w:t>
      </w:r>
      <w:r w:rsidRPr="00722868">
        <w:rPr>
          <w:rFonts w:ascii="Arial" w:eastAsia="Times New Roman" w:hAnsi="Arial"/>
          <w:bCs/>
          <w:i/>
          <w:color w:val="000000"/>
        </w:rPr>
        <w:t>)</w:t>
      </w:r>
    </w:p>
    <w:p w14:paraId="0E1ACFB2" w14:textId="77777777" w:rsidR="00722868" w:rsidRPr="00722868" w:rsidRDefault="00722868" w:rsidP="00722868">
      <w:pPr>
        <w:suppressAutoHyphens w:val="0"/>
        <w:autoSpaceDN/>
        <w:jc w:val="center"/>
        <w:rPr>
          <w:rFonts w:ascii="Arial" w:eastAsia="Times New Roman" w:hAnsi="Arial"/>
          <w:i/>
          <w:color w:val="000000"/>
        </w:rPr>
      </w:pPr>
      <w:r w:rsidRPr="00722868">
        <w:rPr>
          <w:rFonts w:ascii="Arial" w:eastAsia="Times New Roman" w:hAnsi="Arial"/>
          <w:bCs/>
          <w:i/>
          <w:color w:val="000000"/>
        </w:rPr>
        <w:t>(</w:t>
      </w:r>
      <w:r w:rsidRPr="00722868">
        <w:rPr>
          <w:rFonts w:ascii="Arial" w:eastAsia="Times New Roman" w:hAnsi="Arial"/>
          <w:i/>
          <w:iCs/>
          <w:color w:val="000000"/>
        </w:rPr>
        <w:t>pareigos, vardas ir pavardė</w:t>
      </w:r>
      <w:r w:rsidRPr="00722868">
        <w:rPr>
          <w:rFonts w:ascii="Arial" w:eastAsia="Times New Roman" w:hAnsi="Arial"/>
          <w:bCs/>
          <w:i/>
          <w:color w:val="000000"/>
        </w:rPr>
        <w:t>)</w:t>
      </w:r>
    </w:p>
    <w:p w14:paraId="359E92B1" w14:textId="62DE2ECB" w:rsidR="00722868" w:rsidRPr="009B271A" w:rsidRDefault="00B42E25" w:rsidP="00722868">
      <w:pPr>
        <w:suppressAutoHyphens w:val="0"/>
        <w:autoSpaceDN/>
        <w:jc w:val="center"/>
        <w:rPr>
          <w:rFonts w:ascii="Arial" w:eastAsia="Times New Roman" w:hAnsi="Arial"/>
          <w:color w:val="000000"/>
        </w:rPr>
      </w:pPr>
      <w:r w:rsidRPr="009B271A">
        <w:rPr>
          <w:rFonts w:ascii="Arial" w:eastAsia="Times New Roman" w:hAnsi="Arial"/>
          <w:color w:val="000000"/>
        </w:rPr>
        <w:t>___________</w:t>
      </w:r>
    </w:p>
    <w:p w14:paraId="00B60721" w14:textId="5CE3BC4A" w:rsidR="00B42E25" w:rsidRPr="00722868" w:rsidRDefault="00B42E25" w:rsidP="00722868">
      <w:pPr>
        <w:suppressAutoHyphens w:val="0"/>
        <w:autoSpaceDN/>
        <w:jc w:val="center"/>
        <w:rPr>
          <w:rFonts w:ascii="Arial" w:eastAsia="Times New Roman" w:hAnsi="Arial"/>
          <w:i/>
          <w:color w:val="000000"/>
        </w:rPr>
      </w:pPr>
      <w:r w:rsidRPr="009B271A">
        <w:rPr>
          <w:rFonts w:ascii="Arial" w:eastAsia="Times New Roman" w:hAnsi="Arial"/>
          <w:i/>
          <w:color w:val="000000"/>
        </w:rPr>
        <w:t>(data)</w:t>
      </w:r>
    </w:p>
    <w:p w14:paraId="1F6E5E87" w14:textId="77777777" w:rsidR="00722868" w:rsidRPr="00722868" w:rsidRDefault="00722868" w:rsidP="00722868">
      <w:pPr>
        <w:suppressAutoHyphens w:val="0"/>
        <w:autoSpaceDN/>
        <w:jc w:val="center"/>
        <w:rPr>
          <w:rFonts w:ascii="Arial" w:eastAsia="Times New Roman" w:hAnsi="Arial"/>
          <w:color w:val="000000"/>
        </w:rPr>
      </w:pPr>
    </w:p>
    <w:p w14:paraId="682D2CCB" w14:textId="77777777" w:rsidR="00722868" w:rsidRPr="00722868" w:rsidRDefault="00722868" w:rsidP="00722868">
      <w:pPr>
        <w:suppressAutoHyphens w:val="0"/>
        <w:autoSpaceDN/>
        <w:rPr>
          <w:rFonts w:ascii="Arial" w:eastAsia="Times New Roman" w:hAnsi="Arial"/>
          <w:color w:val="000000"/>
        </w:rPr>
      </w:pPr>
    </w:p>
    <w:p w14:paraId="281C5A17" w14:textId="5C70505E" w:rsidR="00722868" w:rsidRPr="00722868" w:rsidRDefault="00722868" w:rsidP="00722868">
      <w:pPr>
        <w:suppressAutoHyphens w:val="0"/>
        <w:autoSpaceDN/>
        <w:jc w:val="center"/>
        <w:rPr>
          <w:rFonts w:ascii="Arial" w:eastAsia="Times New Roman" w:hAnsi="Arial"/>
          <w:color w:val="000000"/>
        </w:rPr>
      </w:pPr>
      <w:r w:rsidRPr="103CBEED">
        <w:rPr>
          <w:rFonts w:ascii="Arial" w:eastAsia="Times New Roman" w:hAnsi="Arial"/>
          <w:b/>
          <w:bCs/>
          <w:color w:val="000000" w:themeColor="text1"/>
        </w:rPr>
        <w:t xml:space="preserve">PRAŠYMO ATITIKTIES MOKSLINIŲ TYRIMŲ ETIKAI KOMITETUI </w:t>
      </w:r>
      <w:r w:rsidR="009B271A" w:rsidRPr="103CBEED">
        <w:rPr>
          <w:rFonts w:ascii="Arial" w:eastAsia="Times New Roman" w:hAnsi="Arial"/>
          <w:b/>
          <w:bCs/>
          <w:color w:val="000000" w:themeColor="text1"/>
        </w:rPr>
        <w:t>7</w:t>
      </w:r>
      <w:r w:rsidRPr="103CBEED">
        <w:rPr>
          <w:rFonts w:ascii="Arial" w:eastAsia="Times New Roman" w:hAnsi="Arial"/>
          <w:b/>
          <w:bCs/>
          <w:color w:val="000000" w:themeColor="text1"/>
        </w:rPr>
        <w:t xml:space="preserve"> KLAUSIMO PRIEDAS</w:t>
      </w:r>
    </w:p>
    <w:p w14:paraId="62B8DEDF" w14:textId="77777777" w:rsidR="00722868" w:rsidRPr="00722868" w:rsidRDefault="00722868" w:rsidP="00722868">
      <w:pPr>
        <w:suppressAutoHyphens w:val="0"/>
        <w:autoSpaceDN/>
        <w:spacing w:line="360" w:lineRule="auto"/>
        <w:ind w:firstLine="709"/>
        <w:jc w:val="both"/>
        <w:outlineLvl w:val="1"/>
        <w:rPr>
          <w:rFonts w:ascii="Arial" w:eastAsia="Times New Roman" w:hAnsi="Arial"/>
          <w:lang w:eastAsia="lt-LT"/>
        </w:rPr>
      </w:pPr>
    </w:p>
    <w:p w14:paraId="694B0BE4" w14:textId="77777777" w:rsidR="00722868" w:rsidRPr="00722868" w:rsidRDefault="00722868" w:rsidP="00722868">
      <w:pPr>
        <w:suppressAutoHyphens w:val="0"/>
        <w:autoSpaceDN/>
        <w:spacing w:line="360" w:lineRule="auto"/>
        <w:jc w:val="both"/>
        <w:rPr>
          <w:rFonts w:ascii="Arial" w:eastAsia="Times New Roman" w:hAnsi="Arial"/>
        </w:rPr>
      </w:pPr>
      <w:r w:rsidRPr="00722868">
        <w:rPr>
          <w:rFonts w:ascii="Arial" w:eastAsia="Times New Roman" w:hAnsi="Arial"/>
        </w:rPr>
        <w:t>Kontrolinis klausimynas parengtas pagal ALTAI (</w:t>
      </w:r>
      <w:proofErr w:type="spellStart"/>
      <w:r w:rsidRPr="00722868">
        <w:rPr>
          <w:rFonts w:ascii="Arial" w:eastAsia="Times New Roman" w:hAnsi="Arial"/>
          <w:i/>
          <w:iCs/>
        </w:rPr>
        <w:t>Assessment</w:t>
      </w:r>
      <w:proofErr w:type="spellEnd"/>
      <w:r w:rsidRPr="00722868">
        <w:rPr>
          <w:rFonts w:ascii="Arial" w:eastAsia="Times New Roman" w:hAnsi="Arial"/>
          <w:i/>
          <w:iCs/>
        </w:rPr>
        <w:t xml:space="preserve"> </w:t>
      </w:r>
      <w:proofErr w:type="spellStart"/>
      <w:r w:rsidRPr="00722868">
        <w:rPr>
          <w:rFonts w:ascii="Arial" w:eastAsia="Times New Roman" w:hAnsi="Arial"/>
          <w:i/>
          <w:iCs/>
        </w:rPr>
        <w:t>List</w:t>
      </w:r>
      <w:proofErr w:type="spellEnd"/>
      <w:r w:rsidRPr="00722868">
        <w:rPr>
          <w:rFonts w:ascii="Arial" w:eastAsia="Times New Roman" w:hAnsi="Arial"/>
          <w:i/>
          <w:iCs/>
        </w:rPr>
        <w:t xml:space="preserve"> </w:t>
      </w:r>
      <w:proofErr w:type="spellStart"/>
      <w:r w:rsidRPr="00722868">
        <w:rPr>
          <w:rFonts w:ascii="Arial" w:eastAsia="Times New Roman" w:hAnsi="Arial"/>
          <w:i/>
          <w:iCs/>
        </w:rPr>
        <w:t>for</w:t>
      </w:r>
      <w:proofErr w:type="spellEnd"/>
      <w:r w:rsidRPr="00722868">
        <w:rPr>
          <w:rFonts w:ascii="Arial" w:eastAsia="Times New Roman" w:hAnsi="Arial"/>
          <w:i/>
          <w:iCs/>
        </w:rPr>
        <w:t xml:space="preserve"> </w:t>
      </w:r>
      <w:proofErr w:type="spellStart"/>
      <w:r w:rsidRPr="00722868">
        <w:rPr>
          <w:rFonts w:ascii="Arial" w:eastAsia="Times New Roman" w:hAnsi="Arial"/>
          <w:i/>
          <w:iCs/>
        </w:rPr>
        <w:t>Trustworthy</w:t>
      </w:r>
      <w:proofErr w:type="spellEnd"/>
      <w:r w:rsidRPr="00722868">
        <w:rPr>
          <w:rFonts w:ascii="Arial" w:eastAsia="Times New Roman" w:hAnsi="Arial"/>
          <w:i/>
          <w:iCs/>
        </w:rPr>
        <w:t xml:space="preserve"> </w:t>
      </w:r>
      <w:proofErr w:type="spellStart"/>
      <w:r w:rsidRPr="00722868">
        <w:rPr>
          <w:rFonts w:ascii="Arial" w:eastAsia="Times New Roman" w:hAnsi="Arial"/>
          <w:i/>
          <w:iCs/>
        </w:rPr>
        <w:t>Artificial</w:t>
      </w:r>
      <w:proofErr w:type="spellEnd"/>
      <w:r w:rsidRPr="00722868">
        <w:rPr>
          <w:rFonts w:ascii="Arial" w:eastAsia="Times New Roman" w:hAnsi="Arial"/>
          <w:i/>
          <w:iCs/>
        </w:rPr>
        <w:t xml:space="preserve"> </w:t>
      </w:r>
      <w:proofErr w:type="spellStart"/>
      <w:r w:rsidRPr="00722868">
        <w:rPr>
          <w:rFonts w:ascii="Arial" w:eastAsia="Times New Roman" w:hAnsi="Arial"/>
          <w:i/>
          <w:iCs/>
        </w:rPr>
        <w:t>Intelligence</w:t>
      </w:r>
      <w:proofErr w:type="spellEnd"/>
      <w:r w:rsidRPr="00722868">
        <w:rPr>
          <w:rFonts w:ascii="Arial" w:eastAsia="Times New Roman" w:hAnsi="Arial"/>
          <w:i/>
          <w:iCs/>
        </w:rPr>
        <w:t xml:space="preserve"> (ALTAI) </w:t>
      </w:r>
      <w:proofErr w:type="spellStart"/>
      <w:r w:rsidRPr="00722868">
        <w:rPr>
          <w:rFonts w:ascii="Arial" w:eastAsia="Times New Roman" w:hAnsi="Arial"/>
          <w:i/>
          <w:iCs/>
        </w:rPr>
        <w:t>for</w:t>
      </w:r>
      <w:proofErr w:type="spellEnd"/>
      <w:r w:rsidRPr="00722868">
        <w:rPr>
          <w:rFonts w:ascii="Arial" w:eastAsia="Times New Roman" w:hAnsi="Arial"/>
          <w:i/>
          <w:iCs/>
        </w:rPr>
        <w:t xml:space="preserve"> </w:t>
      </w:r>
      <w:proofErr w:type="spellStart"/>
      <w:r w:rsidRPr="00722868">
        <w:rPr>
          <w:rFonts w:ascii="Arial" w:eastAsia="Times New Roman" w:hAnsi="Arial"/>
          <w:i/>
          <w:iCs/>
        </w:rPr>
        <w:t>self-assessment</w:t>
      </w:r>
      <w:proofErr w:type="spellEnd"/>
      <w:r w:rsidRPr="00722868">
        <w:rPr>
          <w:rFonts w:ascii="Arial" w:eastAsia="Times New Roman" w:hAnsi="Arial"/>
        </w:rPr>
        <w:t>) sistemą, pritaikytą vertinti dirbtinio intelekto sistemas ir užtikrinti, kad jos atitiktų etinius ir patikimo dirbtinio intelekto principus.</w:t>
      </w:r>
    </w:p>
    <w:p w14:paraId="7F1425D5" w14:textId="77777777" w:rsidR="00722868" w:rsidRPr="00722868" w:rsidRDefault="00722868" w:rsidP="00722868">
      <w:pPr>
        <w:suppressAutoHyphens w:val="0"/>
        <w:autoSpaceDN/>
        <w:spacing w:line="360" w:lineRule="auto"/>
        <w:rPr>
          <w:rFonts w:ascii="Arial" w:eastAsia="Times New Roman" w:hAnsi="Ari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7425"/>
        <w:gridCol w:w="2493"/>
      </w:tblGrid>
      <w:tr w:rsidR="00722868" w:rsidRPr="00722868" w14:paraId="64424B6D" w14:textId="77777777" w:rsidTr="00575BB9">
        <w:tc>
          <w:tcPr>
            <w:tcW w:w="9918" w:type="dxa"/>
            <w:gridSpan w:val="2"/>
          </w:tcPr>
          <w:p w14:paraId="42FC4DD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Žmogiškasis veiksnys ir neteisingo vartojimo prevencija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Human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Agency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Oversight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1B8EBC0F" w14:textId="77777777" w:rsidTr="00575BB9">
        <w:tc>
          <w:tcPr>
            <w:tcW w:w="7425" w:type="dxa"/>
          </w:tcPr>
          <w:p w14:paraId="5E548224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1.1. Ar DI sistema palaiko žmogaus sprendimų priėmimą ir savarankiškumą?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Does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support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human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agency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decision-making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</w:p>
        </w:tc>
        <w:tc>
          <w:tcPr>
            <w:tcW w:w="2493" w:type="dxa"/>
          </w:tcPr>
          <w:p w14:paraId="6B118E5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13CF2F17" w14:textId="77777777" w:rsidTr="00575BB9">
        <w:tc>
          <w:tcPr>
            <w:tcW w:w="7425" w:type="dxa"/>
          </w:tcPr>
          <w:p w14:paraId="4DD1491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1.2. Ar galutiniai vartotojai informuojami, kad sąveikauja su DI sistema?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end-users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informed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interacting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with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93" w:type="dxa"/>
          </w:tcPr>
          <w:p w14:paraId="70EECA2E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68F93794" w14:textId="77777777" w:rsidTr="00575BB9">
        <w:tc>
          <w:tcPr>
            <w:tcW w:w="7425" w:type="dxa"/>
          </w:tcPr>
          <w:p w14:paraId="0E4E39E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1.3. Ar yra įdiegti mechanizmai, kurie padeda išvengti per didelio pasitikėjimo DI sistema?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mechanisms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avoid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over-reliance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6A0F533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38E0A6E3" w14:textId="77777777" w:rsidTr="00575BB9">
        <w:tc>
          <w:tcPr>
            <w:tcW w:w="7425" w:type="dxa"/>
          </w:tcPr>
          <w:p w14:paraId="3BD62299" w14:textId="5B84969A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1.4. Ar yra įdiegta neteisingo DI vartojimo priežiūra (pvz. „žmogus cikle“ - DI sistema generuoja pasiūlymus ar rezultatus, o žmogus juos peržiūri ir priima galutinį sprendimą; „žmogus stebi ciklą“ - DI sistema veikia savarankiškai, tačiau žmogus stebi jos veiklą ir gali įsikišti, jei pastebi klaidas ar netikslumus; žmogus nėra įtrauktas į kiekvieną sprendimą, bet turi galimybę koreguoti sistemos veikimą prireikus; „žmogus vadovauja“ - žmogus turi aukščiausią kontrolę ir atsakomybę už DI sistemos veiklą. Jis nustato tikslus, parametrus ir 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gali bet kada pakeisti arba sustabdyti sistemos veikimą)?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human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oversight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integrated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such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human-in-the-loop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human-on-the-loop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human-in-command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approaches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</w:p>
        </w:tc>
        <w:tc>
          <w:tcPr>
            <w:tcW w:w="2493" w:type="dxa"/>
          </w:tcPr>
          <w:p w14:paraId="20FA2EC3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4F51CB8D" w14:textId="77777777" w:rsidTr="00575BB9">
        <w:tc>
          <w:tcPr>
            <w:tcW w:w="7425" w:type="dxa"/>
          </w:tcPr>
          <w:p w14:paraId="1D6F2736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1.5. Ar yra „stabdymo“ mechanizmai, leidžiantys saugiai nutraukti DI veikimą esant būtinybei?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"stop"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mechanisms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abort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operations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when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necessary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 </w:t>
            </w:r>
          </w:p>
        </w:tc>
        <w:tc>
          <w:tcPr>
            <w:tcW w:w="2493" w:type="dxa"/>
          </w:tcPr>
          <w:p w14:paraId="4C4006C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20F1A74A" w14:textId="77777777" w:rsidTr="00575BB9">
        <w:tc>
          <w:tcPr>
            <w:tcW w:w="9918" w:type="dxa"/>
            <w:gridSpan w:val="2"/>
          </w:tcPr>
          <w:p w14:paraId="0FFABB57" w14:textId="177F5013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 </w:t>
            </w:r>
            <w:r w:rsidR="00575BB9" w:rsidRPr="0072286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Techninis patikimumas ir saugumas</w:t>
            </w:r>
            <w:r w:rsidR="00575BB9" w:rsidRPr="00575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Technical</w:t>
            </w:r>
            <w:proofErr w:type="spellEnd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Robustness</w:t>
            </w:r>
            <w:proofErr w:type="spellEnd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and</w:t>
            </w:r>
            <w:proofErr w:type="spellEnd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Safety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4790F31C" w14:textId="77777777" w:rsidTr="00575BB9">
        <w:tc>
          <w:tcPr>
            <w:tcW w:w="7425" w:type="dxa"/>
          </w:tcPr>
          <w:p w14:paraId="71AB7B93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2.1. Ar DI sistema buvo išbandyta dėl atsparumo galimoms atakoms ar netinkamam naudojimui (pvz., duomenų klastojimui, modelio apgaulės)?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Has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been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tested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resilience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against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potential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attacks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misuse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e.g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., data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poisoning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model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evasion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)?] </w:t>
            </w:r>
          </w:p>
        </w:tc>
        <w:tc>
          <w:tcPr>
            <w:tcW w:w="2493" w:type="dxa"/>
          </w:tcPr>
          <w:p w14:paraId="5AB0B15C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20432C9E" w14:textId="77777777" w:rsidTr="00575BB9">
        <w:tc>
          <w:tcPr>
            <w:tcW w:w="7425" w:type="dxa"/>
          </w:tcPr>
          <w:p w14:paraId="1ECB471A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2.2. Ar yra priemonės, užtikrinančios DI sistemos patikimumą ir tikslumą?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measures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place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ensure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reliability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accuracy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7773605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44A14870" w14:textId="77777777" w:rsidTr="00575BB9">
        <w:tc>
          <w:tcPr>
            <w:tcW w:w="7425" w:type="dxa"/>
          </w:tcPr>
          <w:p w14:paraId="4C136291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2.3. Ar parengti atsarginiai veiksmų planai sistemai sugedus ar suklydus?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fallback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plans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case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failures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errors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1EB9453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02194D59" w14:textId="77777777" w:rsidTr="00575BB9">
        <w:tc>
          <w:tcPr>
            <w:tcW w:w="7425" w:type="dxa"/>
          </w:tcPr>
          <w:p w14:paraId="7A64DB6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2.4. Ar DI sistema sugeba palaikyti savo našumą kintančioje aplinkoje?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capable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maintaining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performance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changing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environments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0A41319F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181DABD5" w14:textId="77777777" w:rsidTr="00575BB9">
        <w:tc>
          <w:tcPr>
            <w:tcW w:w="9918" w:type="dxa"/>
            <w:gridSpan w:val="2"/>
          </w:tcPr>
          <w:p w14:paraId="1FB905BB" w14:textId="473A638E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3. </w:t>
            </w:r>
            <w:r w:rsidR="00575BB9" w:rsidRPr="0072286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Privatumas ir duomenų valdymas</w:t>
            </w: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Privacy</w:t>
            </w:r>
            <w:proofErr w:type="spellEnd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and</w:t>
            </w:r>
            <w:proofErr w:type="spellEnd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Data </w:t>
            </w:r>
            <w:proofErr w:type="spellStart"/>
            <w:r w:rsidR="00575BB9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Governance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60D2AE84" w14:textId="77777777" w:rsidTr="00575BB9">
        <w:tc>
          <w:tcPr>
            <w:tcW w:w="7425" w:type="dxa"/>
          </w:tcPr>
          <w:p w14:paraId="4555CD24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3.1. Ar sistema atitinka BDAR (ar lygiaverčių duomenų apsaugos teisės aktų) reikalavimus?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Does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comply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with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GDPR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equivalent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data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protection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regulations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07ABB1DA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5C80DDAA" w14:textId="77777777" w:rsidTr="00575BB9">
        <w:tc>
          <w:tcPr>
            <w:tcW w:w="7425" w:type="dxa"/>
          </w:tcPr>
          <w:p w14:paraId="0D7DF23F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3.2. Ar taikomos duomenų minimizavimo, </w:t>
            </w:r>
            <w:proofErr w:type="spellStart"/>
            <w:r w:rsidRPr="00722868">
              <w:rPr>
                <w:rFonts w:ascii="Arial" w:eastAsia="Times New Roman" w:hAnsi="Arial" w:cs="Arial"/>
                <w:sz w:val="24"/>
                <w:szCs w:val="24"/>
              </w:rPr>
              <w:t>pseudonimizavimo</w:t>
            </w:r>
            <w:proofErr w:type="spellEnd"/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ir šifravimo praktikos?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data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minimization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pseudonymization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encryption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practices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applied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33C30AC4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515211E9" w14:textId="77777777" w:rsidTr="00575BB9">
        <w:tc>
          <w:tcPr>
            <w:tcW w:w="7425" w:type="dxa"/>
          </w:tcPr>
          <w:p w14:paraId="56C4A224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3.3. Ar atliktas poveikio duomenų apsaugai vertinimas (DPIA), jei tai būtina?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 Data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Protection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Impact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Assessment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(DPIA)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conducted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if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necessary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508D21AF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4AEEA1BA" w14:textId="77777777" w:rsidTr="00575BB9">
        <w:tc>
          <w:tcPr>
            <w:tcW w:w="7425" w:type="dxa"/>
          </w:tcPr>
          <w:p w14:paraId="5486019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3.4. Ar asmens duomenys yra saugiai tvarkomi ir naudojami tik pagal numatytą tikslą?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personal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data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processed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securely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used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only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intended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purpose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33F7F7EA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246C3945" w14:textId="77777777" w:rsidTr="00575BB9">
        <w:tc>
          <w:tcPr>
            <w:tcW w:w="9918" w:type="dxa"/>
            <w:gridSpan w:val="2"/>
          </w:tcPr>
          <w:p w14:paraId="3FBF2E9E" w14:textId="347C4916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4. </w:t>
            </w:r>
            <w:r w:rsidR="001E44FD" w:rsidRPr="0072286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Skaidrumas</w:t>
            </w:r>
            <w:r w:rsidR="001E44FD"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1E44FD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Transparency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429C7B0C" w14:textId="77777777" w:rsidTr="00575BB9">
        <w:tc>
          <w:tcPr>
            <w:tcW w:w="7425" w:type="dxa"/>
          </w:tcPr>
          <w:p w14:paraId="66DDC5AF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4.1. Ar galima atsekti DI sistemos priimtus sprendimus iki jų šaltinių duomenų ir algoritmų?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Can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decisions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made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be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traced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back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their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source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data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algorithms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64F5BE90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1D8BCB05" w14:textId="77777777" w:rsidTr="00575BB9">
        <w:tc>
          <w:tcPr>
            <w:tcW w:w="7425" w:type="dxa"/>
          </w:tcPr>
          <w:p w14:paraId="082941F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4.2. Ar vartotojams yra aiškiai paaiškintos sistemos ribos, tokios kaip tikslumo ar klaidų rodikliai?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system’s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limitations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such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accuracy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error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rates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communicated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users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31D39870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73321E43" w14:textId="77777777" w:rsidTr="00575BB9">
        <w:tc>
          <w:tcPr>
            <w:tcW w:w="7425" w:type="dxa"/>
          </w:tcPr>
          <w:p w14:paraId="16F8397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4.3. Ar galima paaiškinti DI sprendimų priėmimo procesą paveiktoms šalims?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reasoning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behind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decisions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explainable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affected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parties?]</w:t>
            </w:r>
          </w:p>
        </w:tc>
        <w:tc>
          <w:tcPr>
            <w:tcW w:w="2493" w:type="dxa"/>
          </w:tcPr>
          <w:p w14:paraId="4BC22C81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4664AF75" w14:textId="77777777" w:rsidTr="00575BB9">
        <w:tc>
          <w:tcPr>
            <w:tcW w:w="7425" w:type="dxa"/>
          </w:tcPr>
          <w:p w14:paraId="64BFE287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4.4. Ar įdiegtos tinkamos žurnalų vedimo praktikos audito tikslams?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clear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logging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practices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established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auditability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</w:p>
        </w:tc>
        <w:tc>
          <w:tcPr>
            <w:tcW w:w="2493" w:type="dxa"/>
          </w:tcPr>
          <w:p w14:paraId="30624E5A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22324B2E" w14:textId="77777777" w:rsidTr="00575BB9">
        <w:tc>
          <w:tcPr>
            <w:tcW w:w="9918" w:type="dxa"/>
            <w:gridSpan w:val="2"/>
          </w:tcPr>
          <w:p w14:paraId="1FABF066" w14:textId="1B7F6FE2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5. </w:t>
            </w:r>
            <w:r w:rsidR="00A26B09" w:rsidRPr="00A26B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Įvairovė, nediskriminavimas ir sąžiningumas</w:t>
            </w: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Diversity</w:t>
            </w:r>
            <w:proofErr w:type="spellEnd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Non-discrimination</w:t>
            </w:r>
            <w:proofErr w:type="spellEnd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and</w:t>
            </w:r>
            <w:proofErr w:type="spellEnd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BF4057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Fairness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0CF67D57" w14:textId="77777777" w:rsidTr="00575BB9">
        <w:tc>
          <w:tcPr>
            <w:tcW w:w="7425" w:type="dxa"/>
          </w:tcPr>
          <w:p w14:paraId="7E7ADA2E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5.1. Ar DI sistema buvo patikrinta dėl šališkumo ir sąžiningumo, atsižvelgiant į įvairias grupes?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Has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been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tested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bias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fairness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across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diverse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groups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4A1118F0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744F811A" w14:textId="77777777" w:rsidTr="00575BB9">
        <w:tc>
          <w:tcPr>
            <w:tcW w:w="7425" w:type="dxa"/>
          </w:tcPr>
          <w:p w14:paraId="67333763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5.2. Ar apibrėžti ir stebimi sąžiningumo rodikliai per visą DI gyvavimo ciklą?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fairness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metrics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defined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monitored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throughout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lifecycle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32E0C76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033CE1B5" w14:textId="77777777" w:rsidTr="00575BB9">
        <w:tc>
          <w:tcPr>
            <w:tcW w:w="7425" w:type="dxa"/>
          </w:tcPr>
          <w:p w14:paraId="2918C0DA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5.3. Ar taikomi visuotinio dizaino principai, siekiant užtikrinti, kad sistema būtų prieinama visiems, įskaitant neįgaliuosius? (pvz., ar užtikrinta, kad DI technologijos būtų įtraukiamosios ir nesukurtų barjerų jokiai vartotojų grupei.)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Universal Design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principles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applied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ensure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accessibility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all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users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including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those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with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disabilities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35AB2F2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3FD42192" w14:textId="77777777" w:rsidTr="00575BB9">
        <w:tc>
          <w:tcPr>
            <w:tcW w:w="9918" w:type="dxa"/>
            <w:gridSpan w:val="2"/>
          </w:tcPr>
          <w:p w14:paraId="51AB9DDE" w14:textId="203A4144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6. </w:t>
            </w:r>
            <w:r w:rsidR="00EA15BC" w:rsidRPr="0072286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Socialinė ir aplinkos gerovė</w:t>
            </w:r>
            <w:r w:rsidR="00EA15BC" w:rsidRPr="00EA15B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Societal</w:t>
            </w:r>
            <w:proofErr w:type="spellEnd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and</w:t>
            </w:r>
            <w:proofErr w:type="spellEnd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Environmental</w:t>
            </w:r>
            <w:proofErr w:type="spellEnd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Well-being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7616E574" w14:textId="77777777" w:rsidTr="00575BB9">
        <w:tc>
          <w:tcPr>
            <w:tcW w:w="7425" w:type="dxa"/>
          </w:tcPr>
          <w:p w14:paraId="4818B94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6.1. Ar DI sistema siekia sumažinti savo poveikį aplinkai (pvz., energijos suvartojimą)?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Does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aim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minimize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environmental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impact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e.g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energy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consumption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)?] </w:t>
            </w:r>
          </w:p>
        </w:tc>
        <w:tc>
          <w:tcPr>
            <w:tcW w:w="2493" w:type="dxa"/>
          </w:tcPr>
          <w:p w14:paraId="7789A1F3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3ECF4366" w14:textId="77777777" w:rsidTr="00575BB9">
        <w:tc>
          <w:tcPr>
            <w:tcW w:w="7425" w:type="dxa"/>
          </w:tcPr>
          <w:p w14:paraId="676D8ED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6.2. Ar vertinamas sistemos poveikis visuomenei, įskaitant demokratiją ir visuomenės gerovę?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societal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impacts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including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effects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democracy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public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welfare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assessed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710DF079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7F07FA3C" w14:textId="77777777" w:rsidTr="00575BB9">
        <w:tc>
          <w:tcPr>
            <w:tcW w:w="7425" w:type="dxa"/>
          </w:tcPr>
          <w:p w14:paraId="30597A3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6.3. Ar sistema skatina naujų įgūdžių įgijimą ir prasmingą darbą, o ne darbuotojų kvalifikacijos mažėjimą?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Does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promote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new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skills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meaningful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work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opportunities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rather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than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de-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skilling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73B1975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5B123313" w14:textId="77777777" w:rsidTr="00575BB9">
        <w:tc>
          <w:tcPr>
            <w:tcW w:w="9918" w:type="dxa"/>
            <w:gridSpan w:val="2"/>
          </w:tcPr>
          <w:p w14:paraId="7017C5F5" w14:textId="6886B57F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7. </w:t>
            </w:r>
            <w:r w:rsidR="00EA15BC" w:rsidRPr="0072286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Atsakomybė</w:t>
            </w: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EA15BC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Accountability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31D71D59" w14:textId="77777777" w:rsidTr="00575BB9">
        <w:tc>
          <w:tcPr>
            <w:tcW w:w="7425" w:type="dxa"/>
          </w:tcPr>
          <w:p w14:paraId="643E4F78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>7.1. Ar įdiegti mechanizmai, leidžiantys trečiosioms šalims atlikti sistemos auditą? [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mechanisms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place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third-party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audits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</w:p>
        </w:tc>
        <w:tc>
          <w:tcPr>
            <w:tcW w:w="2493" w:type="dxa"/>
          </w:tcPr>
          <w:p w14:paraId="457B9A31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5E5ABCC5" w14:textId="77777777" w:rsidTr="00575BB9">
        <w:tc>
          <w:tcPr>
            <w:tcW w:w="7425" w:type="dxa"/>
          </w:tcPr>
          <w:p w14:paraId="248DA71E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7.2.  Ar yra procesai, leidžiantys pranešti ir spręsti pažeidžiamumus ar rizikas?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there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process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reporting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addressing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vulnerabilities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risks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?]</w:t>
            </w:r>
          </w:p>
        </w:tc>
        <w:tc>
          <w:tcPr>
            <w:tcW w:w="2493" w:type="dxa"/>
          </w:tcPr>
          <w:p w14:paraId="6950DDD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282FB64A" w14:textId="77777777" w:rsidTr="00575BB9">
        <w:tc>
          <w:tcPr>
            <w:tcW w:w="7425" w:type="dxa"/>
          </w:tcPr>
          <w:p w14:paraId="5A08B897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7.3. Ar aiškiai apibrėžtos DI kūrėjų, naudotojų ir kitų suinteresuotų šalių atsakomybės?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roles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responsibilities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of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developers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users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stakeholders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clearly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defined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1B9E6FB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444103D2" w14:textId="77777777" w:rsidTr="00575BB9">
        <w:tc>
          <w:tcPr>
            <w:tcW w:w="7425" w:type="dxa"/>
          </w:tcPr>
          <w:p w14:paraId="4970F851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7.4. Ar numatytos priemonės, leidžiančios pašalinti neigiamą poveikį, atsiradusį dėl DI sistemos veiklos?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measures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place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provide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redress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adverse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effects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caused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system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0DF3278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60523767" w14:textId="77777777" w:rsidTr="00575BB9">
        <w:tc>
          <w:tcPr>
            <w:tcW w:w="9918" w:type="dxa"/>
            <w:gridSpan w:val="2"/>
          </w:tcPr>
          <w:p w14:paraId="0D3C6097" w14:textId="545BF19C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</w:t>
            </w:r>
            <w:r w:rsidR="00AE41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AE413E" w:rsidRPr="0072286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Dokumentacija ir įrodymai</w:t>
            </w:r>
            <w:r w:rsidRPr="007228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="00AE413E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Documentation</w:t>
            </w:r>
            <w:proofErr w:type="spellEnd"/>
            <w:r w:rsidR="00AE413E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AE413E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and</w:t>
            </w:r>
            <w:proofErr w:type="spellEnd"/>
            <w:r w:rsidR="00AE413E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AE413E" w:rsidRPr="0072286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Evidence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]</w:t>
            </w:r>
          </w:p>
        </w:tc>
      </w:tr>
      <w:tr w:rsidR="00722868" w:rsidRPr="00722868" w14:paraId="15F28194" w14:textId="77777777" w:rsidTr="00575BB9">
        <w:tc>
          <w:tcPr>
            <w:tcW w:w="7425" w:type="dxa"/>
          </w:tcPr>
          <w:p w14:paraId="4D244D3F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>8.1. Ar tinkamai registruojami visi vertinimai ir auditai?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[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clear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record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all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assessments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audits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maintained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04B45A22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  <w:tr w:rsidR="00722868" w:rsidRPr="00722868" w14:paraId="00DAFAE2" w14:textId="77777777" w:rsidTr="00575BB9">
        <w:tc>
          <w:tcPr>
            <w:tcW w:w="7425" w:type="dxa"/>
          </w:tcPr>
          <w:p w14:paraId="1361B939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sz w:val="24"/>
                <w:szCs w:val="24"/>
              </w:rPr>
              <w:t xml:space="preserve">8.2. Ar pridėti visi teisinio ir etinio atitikimo dokumentai? </w:t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[Are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all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regulatory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ethical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compliance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documents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attached</w:t>
            </w:r>
            <w:proofErr w:type="spellEnd"/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?] </w:t>
            </w:r>
          </w:p>
        </w:tc>
        <w:tc>
          <w:tcPr>
            <w:tcW w:w="2493" w:type="dxa"/>
          </w:tcPr>
          <w:p w14:paraId="270B8ADD" w14:textId="77777777" w:rsidR="00722868" w:rsidRPr="00722868" w:rsidRDefault="00722868" w:rsidP="00722868">
            <w:pPr>
              <w:suppressAutoHyphens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Taip</w:t>
            </w:r>
            <w:r w:rsidRPr="0072286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2286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  Ne</w:t>
            </w:r>
          </w:p>
        </w:tc>
      </w:tr>
    </w:tbl>
    <w:p w14:paraId="6BD76539" w14:textId="77777777" w:rsidR="00722868" w:rsidRPr="00722868" w:rsidRDefault="00722868" w:rsidP="00722868">
      <w:pPr>
        <w:suppressAutoHyphens w:val="0"/>
        <w:autoSpaceDN/>
        <w:spacing w:line="360" w:lineRule="auto"/>
        <w:rPr>
          <w:rFonts w:ascii="Arial" w:eastAsia="Times New Roman" w:hAnsi="Arial"/>
        </w:rPr>
      </w:pPr>
    </w:p>
    <w:p w14:paraId="41533398" w14:textId="77777777" w:rsidR="00722868" w:rsidRPr="00722868" w:rsidRDefault="00722868" w:rsidP="00722868">
      <w:pPr>
        <w:suppressAutoHyphens w:val="0"/>
        <w:autoSpaceDN/>
        <w:rPr>
          <w:rFonts w:ascii="Arial" w:eastAsia="Times New Roman" w:hAnsi="Arial"/>
          <w:color w:val="000000"/>
        </w:rPr>
      </w:pPr>
      <w:r w:rsidRPr="00722868">
        <w:rPr>
          <w:rFonts w:ascii="Arial" w:eastAsia="Times New Roman" w:hAnsi="Arial"/>
          <w:i/>
          <w:iCs/>
          <w:color w:val="000000"/>
        </w:rPr>
        <w:t>Patvirtinu, kad Tyrimas bus atliekamas remiantis šioje paraiškoje pateikta informacija ir Tyrimo vykdymo metu nebus pažeidžiami galiojantys teisės aktai.</w:t>
      </w:r>
    </w:p>
    <w:p w14:paraId="2FEF2536" w14:textId="77777777" w:rsidR="00722868" w:rsidRPr="00722868" w:rsidRDefault="00722868" w:rsidP="00722868">
      <w:pPr>
        <w:suppressAutoHyphens w:val="0"/>
        <w:autoSpaceDN/>
        <w:rPr>
          <w:rFonts w:ascii="Arial" w:eastAsia="Times New Roman" w:hAnsi="Arial"/>
          <w:color w:val="000000"/>
        </w:rPr>
      </w:pPr>
    </w:p>
    <w:p w14:paraId="58EB5BCE" w14:textId="77777777" w:rsidR="00722868" w:rsidRPr="00722868" w:rsidRDefault="00722868" w:rsidP="00722868">
      <w:pPr>
        <w:suppressAutoHyphens w:val="0"/>
        <w:autoSpaceDN/>
        <w:rPr>
          <w:rFonts w:ascii="Arial" w:eastAsia="Times New Roman" w:hAnsi="Arial"/>
          <w:color w:val="000000"/>
        </w:rPr>
      </w:pPr>
      <w:r w:rsidRPr="00722868">
        <w:rPr>
          <w:rFonts w:ascii="Arial" w:eastAsia="Times New Roman" w:hAnsi="Arial"/>
          <w:i/>
          <w:iCs/>
          <w:color w:val="000000"/>
        </w:rPr>
        <w:t>.......................................</w:t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  <w:i/>
          <w:iCs/>
          <w:color w:val="000000"/>
        </w:rPr>
        <w:t>............................</w:t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  <w:i/>
          <w:iCs/>
          <w:color w:val="000000"/>
        </w:rPr>
        <w:t>....................................</w:t>
      </w:r>
    </w:p>
    <w:p w14:paraId="5D6B6C68" w14:textId="6D1D5D47" w:rsidR="009B6BE8" w:rsidRPr="00280709" w:rsidRDefault="00722868" w:rsidP="00A06708">
      <w:pPr>
        <w:suppressAutoHyphens w:val="0"/>
        <w:autoSpaceDN/>
        <w:rPr>
          <w:rFonts w:ascii="Arial" w:hAnsi="Arial"/>
        </w:rPr>
      </w:pPr>
      <w:r w:rsidRPr="00722868">
        <w:rPr>
          <w:rFonts w:ascii="Arial" w:eastAsia="Times New Roman" w:hAnsi="Arial"/>
          <w:i/>
          <w:iCs/>
          <w:color w:val="000000"/>
        </w:rPr>
        <w:t>(pareigos)</w:t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  <w:i/>
          <w:iCs/>
          <w:color w:val="000000"/>
        </w:rPr>
        <w:t>(parašas)</w:t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</w:rPr>
        <w:tab/>
      </w:r>
      <w:r w:rsidRPr="00722868">
        <w:rPr>
          <w:rFonts w:ascii="Arial" w:eastAsia="Times New Roman" w:hAnsi="Arial"/>
          <w:i/>
          <w:iCs/>
          <w:color w:val="000000"/>
        </w:rPr>
        <w:t>(vardas ir pavardė</w:t>
      </w:r>
    </w:p>
    <w:sectPr w:rsidR="009B6BE8" w:rsidRPr="00280709" w:rsidSect="002C50BE">
      <w:headerReference w:type="default" r:id="rId11"/>
      <w:pgSz w:w="12240" w:h="15840"/>
      <w:pgMar w:top="1134" w:right="567" w:bottom="1134" w:left="1701" w:header="567" w:footer="567" w:gutter="0"/>
      <w:cols w:space="12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5D8D9A" w16cex:dateUtc="2025-05-30T11:15:00Z">
    <w16cex:extLst>
      <w16:ext w16:uri="{CE6994B0-6A32-4C9F-8C6B-6E91EDA988CE}">
        <cr:reactions xmlns:cr="http://schemas.microsoft.com/office/comments/2020/reactions">
          <cr:reaction reactionType="1">
            <cr:reactionInfo dateUtc="2025-06-06T08:37:21Z">
              <cr:user userId="S::agotar@mruni.eu::f17c0513-7263-4b3f-adaa-82abd5e4f694" userProvider="AD" userName="Agota Giedrė Raišienė"/>
            </cr:reactionInfo>
          </cr:reaction>
        </cr:reactions>
      </w16:ext>
    </w16cex:extLst>
  </w16cex:commentExtensible>
  <w16cex:commentExtensible w16cex:durableId="326229A5" w16cex:dateUtc="2025-05-30T10:46:00Z"/>
  <w16cex:commentExtensible w16cex:durableId="63018FFC" w16cex:dateUtc="2025-05-30T10:51:00Z"/>
  <w16cex:commentExtensible w16cex:durableId="6C93ADC6" w16cex:dateUtc="2025-06-06T12:54:00Z"/>
  <w16cex:commentExtensible w16cex:durableId="390A6DE7" w16cex:dateUtc="2025-05-30T10:48:00Z"/>
  <w16cex:commentExtensible w16cex:durableId="1D3D26BE" w16cex:dateUtc="2025-06-06T12:55:00Z"/>
  <w16cex:commentExtensible w16cex:durableId="206A3926" w16cex:dateUtc="2025-06-06T13:02:00Z"/>
  <w16cex:commentExtensible w16cex:durableId="06C94958" w16cex:dateUtc="2025-06-06T13:04:00Z"/>
  <w16cex:commentExtensible w16cex:durableId="0EC60BEF" w16cex:dateUtc="2025-06-06T13:17:00Z"/>
  <w16cex:commentExtensible w16cex:durableId="5D8F721C" w16cex:dateUtc="2025-06-06T13:22:00Z"/>
  <w16cex:commentExtensible w16cex:durableId="1053B22E" w16cex:dateUtc="2025-06-06T13:28:00Z"/>
  <w16cex:commentExtensible w16cex:durableId="18FBD76D" w16cex:dateUtc="2025-06-06T13:23:00Z"/>
  <w16cex:commentExtensible w16cex:durableId="062575EF" w16cex:dateUtc="2025-06-06T13:32:00Z"/>
  <w16cex:commentExtensible w16cex:durableId="7BDAB26F" w16cex:dateUtc="2025-05-30T11:09:00Z">
    <w16cex:extLst>
      <w16:ext w16:uri="{CE6994B0-6A32-4C9F-8C6B-6E91EDA988CE}">
        <cr:reactions xmlns:cr="http://schemas.microsoft.com/office/comments/2020/reactions">
          <cr:reaction reactionType="1">
            <cr:reactionInfo dateUtc="2025-06-06T13:33:54Z">
              <cr:user userId="S::agotar@mruni.eu::f17c0513-7263-4b3f-adaa-82abd5e4f694" userProvider="AD" userName="Agota Giedrė Raišienė"/>
            </cr:reactionInfo>
          </cr:reaction>
        </cr:reactions>
      </w16:ext>
    </w16cex:extLst>
  </w16cex:commentExtensible>
  <w16cex:commentExtensible w16cex:durableId="15ACDB97" w16cex:dateUtc="2025-06-06T13:35:00Z"/>
  <w16cex:commentExtensible w16cex:durableId="386B1A3F" w16cex:dateUtc="2025-06-06T13:38:00Z"/>
  <w16cex:commentExtensible w16cex:durableId="2EAE609E" w16cex:dateUtc="2025-06-06T13:50:00Z"/>
  <w16cex:commentExtensible w16cex:durableId="65CB869A" w16cex:dateUtc="2025-06-06T13:57:00Z"/>
  <w16cex:commentExtensible w16cex:durableId="7111240C" w16cex:dateUtc="2025-06-06T13:59:00Z"/>
  <w16cex:commentExtensible w16cex:durableId="5E94D97C" w16cex:dateUtc="2025-06-06T14:01:00Z"/>
  <w16cex:commentExtensible w16cex:durableId="60D5A30F" w16cex:dateUtc="2025-06-06T14:02:00Z"/>
  <w16cex:commentExtensible w16cex:durableId="3837CE9B" w16cex:dateUtc="2025-06-06T14:05:00Z"/>
  <w16cex:commentExtensible w16cex:durableId="4D9482CA" w16cex:dateUtc="2025-06-06T14:19:00Z"/>
  <w16cex:commentExtensible w16cex:durableId="1B3FEEDD" w16cex:dateUtc="2025-06-06T14:23:00Z"/>
  <w16cex:commentExtensible w16cex:durableId="0343525B" w16cex:dateUtc="2025-06-06T14:24:00Z"/>
  <w16cex:commentExtensible w16cex:durableId="3F8A0998" w16cex:dateUtc="2025-06-06T14:30:00Z"/>
  <w16cex:commentExtensible w16cex:durableId="6ED90D86" w16cex:dateUtc="2025-06-06T14:32:00Z"/>
  <w16cex:commentExtensible w16cex:durableId="19ACFF21" w16cex:dateUtc="2025-06-06T14:35:00Z"/>
  <w16cex:commentExtensible w16cex:durableId="2E1BE246" w16cex:dateUtc="2025-06-06T14:36:00Z"/>
  <w16cex:commentExtensible w16cex:durableId="690AE194" w16cex:dateUtc="2025-06-06T14:37:00Z"/>
  <w16cex:commentExtensible w16cex:durableId="0BFBFABA" w16cex:dateUtc="2025-06-06T14:38:00Z"/>
  <w16cex:commentExtensible w16cex:durableId="763EA5B5" w16cex:dateUtc="2025-06-06T14:38:00Z"/>
  <w16cex:commentExtensible w16cex:durableId="4C66E391" w16cex:dateUtc="2025-06-06T14:41:00Z"/>
  <w16cex:commentExtensible w16cex:durableId="11437748" w16cex:dateUtc="2025-06-06T14:42:00Z"/>
  <w16cex:commentExtensible w16cex:durableId="060CA12C" w16cex:dateUtc="2025-05-30T11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9A33D" w14:textId="77777777" w:rsidR="00D7532F" w:rsidRDefault="00D7532F">
      <w:r>
        <w:separator/>
      </w:r>
    </w:p>
  </w:endnote>
  <w:endnote w:type="continuationSeparator" w:id="0">
    <w:p w14:paraId="47B43C1D" w14:textId="77777777" w:rsidR="00D7532F" w:rsidRDefault="00D7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714B" w14:textId="77777777" w:rsidR="00D7532F" w:rsidRDefault="00D7532F">
      <w:r>
        <w:rPr>
          <w:color w:val="000000"/>
        </w:rPr>
        <w:separator/>
      </w:r>
    </w:p>
  </w:footnote>
  <w:footnote w:type="continuationSeparator" w:id="0">
    <w:p w14:paraId="7BC0ACE4" w14:textId="77777777" w:rsidR="00D7532F" w:rsidRDefault="00D7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8DCC" w14:textId="2345F909" w:rsidR="00D7532F" w:rsidRDefault="00D7532F">
    <w:pPr>
      <w:pStyle w:val="Header"/>
      <w:jc w:val="center"/>
    </w:pPr>
  </w:p>
  <w:p w14:paraId="01968628" w14:textId="77777777" w:rsidR="00D7532F" w:rsidRDefault="00D75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B5F"/>
    <w:multiLevelType w:val="hybridMultilevel"/>
    <w:tmpl w:val="1B785198"/>
    <w:lvl w:ilvl="0" w:tplc="64A23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710E44"/>
    <w:multiLevelType w:val="multilevel"/>
    <w:tmpl w:val="D07A76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3B2"/>
    <w:multiLevelType w:val="hybridMultilevel"/>
    <w:tmpl w:val="F5AA44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BAE"/>
    <w:multiLevelType w:val="multilevel"/>
    <w:tmpl w:val="F7A636F0"/>
    <w:lvl w:ilvl="0">
      <w:start w:val="1"/>
      <w:numFmt w:val="decimal"/>
      <w:lvlText w:val="%1."/>
      <w:lvlJc w:val="left"/>
      <w:pPr>
        <w:ind w:left="7448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676702"/>
    <w:multiLevelType w:val="hybridMultilevel"/>
    <w:tmpl w:val="5CAA7F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7B5"/>
    <w:multiLevelType w:val="hybridMultilevel"/>
    <w:tmpl w:val="B76062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00DAF"/>
    <w:multiLevelType w:val="hybridMultilevel"/>
    <w:tmpl w:val="C720BFAE"/>
    <w:lvl w:ilvl="0" w:tplc="597438D6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83F57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92008A"/>
    <w:multiLevelType w:val="multilevel"/>
    <w:tmpl w:val="CC94FB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0D1D"/>
    <w:multiLevelType w:val="hybridMultilevel"/>
    <w:tmpl w:val="BB36BA00"/>
    <w:lvl w:ilvl="0" w:tplc="4C4A1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2C8F"/>
    <w:multiLevelType w:val="multilevel"/>
    <w:tmpl w:val="F7A636F0"/>
    <w:lvl w:ilvl="0">
      <w:start w:val="1"/>
      <w:numFmt w:val="decimal"/>
      <w:lvlText w:val="%1."/>
      <w:lvlJc w:val="left"/>
      <w:pPr>
        <w:ind w:left="7448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F9"/>
    <w:rsid w:val="00007DB5"/>
    <w:rsid w:val="000116D8"/>
    <w:rsid w:val="000126A5"/>
    <w:rsid w:val="00014F11"/>
    <w:rsid w:val="00026AAD"/>
    <w:rsid w:val="00033C74"/>
    <w:rsid w:val="00036981"/>
    <w:rsid w:val="00057983"/>
    <w:rsid w:val="0006249D"/>
    <w:rsid w:val="00070D01"/>
    <w:rsid w:val="000729F3"/>
    <w:rsid w:val="000738EB"/>
    <w:rsid w:val="000843F4"/>
    <w:rsid w:val="00094070"/>
    <w:rsid w:val="000A710D"/>
    <w:rsid w:val="000B4C50"/>
    <w:rsid w:val="000B53E0"/>
    <w:rsid w:val="000C2416"/>
    <w:rsid w:val="000C41DC"/>
    <w:rsid w:val="000C4D58"/>
    <w:rsid w:val="000D3529"/>
    <w:rsid w:val="000F20E8"/>
    <w:rsid w:val="000F449D"/>
    <w:rsid w:val="00104FF4"/>
    <w:rsid w:val="00106C82"/>
    <w:rsid w:val="00127B3A"/>
    <w:rsid w:val="00163300"/>
    <w:rsid w:val="00167469"/>
    <w:rsid w:val="001756A0"/>
    <w:rsid w:val="001809C0"/>
    <w:rsid w:val="00180D60"/>
    <w:rsid w:val="00185020"/>
    <w:rsid w:val="001A6D62"/>
    <w:rsid w:val="001B0786"/>
    <w:rsid w:val="001B1553"/>
    <w:rsid w:val="001B2454"/>
    <w:rsid w:val="001B55DD"/>
    <w:rsid w:val="001B643D"/>
    <w:rsid w:val="001B7017"/>
    <w:rsid w:val="001E44FD"/>
    <w:rsid w:val="001E64E2"/>
    <w:rsid w:val="001F466B"/>
    <w:rsid w:val="00207107"/>
    <w:rsid w:val="002254D4"/>
    <w:rsid w:val="0023393B"/>
    <w:rsid w:val="002560F5"/>
    <w:rsid w:val="00264F26"/>
    <w:rsid w:val="00266F14"/>
    <w:rsid w:val="00267171"/>
    <w:rsid w:val="00267ADC"/>
    <w:rsid w:val="00267EB2"/>
    <w:rsid w:val="00270199"/>
    <w:rsid w:val="00272B14"/>
    <w:rsid w:val="0027677A"/>
    <w:rsid w:val="00280406"/>
    <w:rsid w:val="00280709"/>
    <w:rsid w:val="002C3DF9"/>
    <w:rsid w:val="002C50BE"/>
    <w:rsid w:val="002D3649"/>
    <w:rsid w:val="002D5EBF"/>
    <w:rsid w:val="002E2F48"/>
    <w:rsid w:val="002F1BC7"/>
    <w:rsid w:val="002F6605"/>
    <w:rsid w:val="00324B8B"/>
    <w:rsid w:val="0034758A"/>
    <w:rsid w:val="00347838"/>
    <w:rsid w:val="00361017"/>
    <w:rsid w:val="00361929"/>
    <w:rsid w:val="00365A43"/>
    <w:rsid w:val="003712E1"/>
    <w:rsid w:val="003712E9"/>
    <w:rsid w:val="00375E84"/>
    <w:rsid w:val="003920E9"/>
    <w:rsid w:val="003B3520"/>
    <w:rsid w:val="003C2E4C"/>
    <w:rsid w:val="003E3045"/>
    <w:rsid w:val="003E7A67"/>
    <w:rsid w:val="003F3822"/>
    <w:rsid w:val="003F5A40"/>
    <w:rsid w:val="00407A69"/>
    <w:rsid w:val="004125D4"/>
    <w:rsid w:val="00423629"/>
    <w:rsid w:val="004271F2"/>
    <w:rsid w:val="00441112"/>
    <w:rsid w:val="004555A1"/>
    <w:rsid w:val="00461EA1"/>
    <w:rsid w:val="004621AA"/>
    <w:rsid w:val="004701B4"/>
    <w:rsid w:val="00473BEF"/>
    <w:rsid w:val="004748FB"/>
    <w:rsid w:val="00475050"/>
    <w:rsid w:val="00477AF6"/>
    <w:rsid w:val="00485677"/>
    <w:rsid w:val="004A1309"/>
    <w:rsid w:val="004B0DB2"/>
    <w:rsid w:val="004B79BE"/>
    <w:rsid w:val="004C00E3"/>
    <w:rsid w:val="004C3EEA"/>
    <w:rsid w:val="004C65A6"/>
    <w:rsid w:val="004E390E"/>
    <w:rsid w:val="004E3E2D"/>
    <w:rsid w:val="004E54C6"/>
    <w:rsid w:val="004E7A8E"/>
    <w:rsid w:val="004F1988"/>
    <w:rsid w:val="00503570"/>
    <w:rsid w:val="0052289C"/>
    <w:rsid w:val="0054242A"/>
    <w:rsid w:val="005479C4"/>
    <w:rsid w:val="00547C0C"/>
    <w:rsid w:val="005514FB"/>
    <w:rsid w:val="00557FFA"/>
    <w:rsid w:val="0056503C"/>
    <w:rsid w:val="00575BB9"/>
    <w:rsid w:val="005760DC"/>
    <w:rsid w:val="005825C8"/>
    <w:rsid w:val="0058480F"/>
    <w:rsid w:val="005905B0"/>
    <w:rsid w:val="005A3BCF"/>
    <w:rsid w:val="005C3EA0"/>
    <w:rsid w:val="005C5C27"/>
    <w:rsid w:val="005C6F02"/>
    <w:rsid w:val="005C7271"/>
    <w:rsid w:val="005E0E16"/>
    <w:rsid w:val="006143EB"/>
    <w:rsid w:val="00632EED"/>
    <w:rsid w:val="00661570"/>
    <w:rsid w:val="00680072"/>
    <w:rsid w:val="006910D1"/>
    <w:rsid w:val="006954C9"/>
    <w:rsid w:val="006A135E"/>
    <w:rsid w:val="006A7FD2"/>
    <w:rsid w:val="006B1CE4"/>
    <w:rsid w:val="006B769C"/>
    <w:rsid w:val="006C0828"/>
    <w:rsid w:val="006D1BE7"/>
    <w:rsid w:val="006D3C46"/>
    <w:rsid w:val="006F0274"/>
    <w:rsid w:val="006F2220"/>
    <w:rsid w:val="006F3174"/>
    <w:rsid w:val="007207BF"/>
    <w:rsid w:val="00722868"/>
    <w:rsid w:val="007244D7"/>
    <w:rsid w:val="00726B00"/>
    <w:rsid w:val="007330F3"/>
    <w:rsid w:val="00737053"/>
    <w:rsid w:val="00745FD3"/>
    <w:rsid w:val="007562EC"/>
    <w:rsid w:val="00762C6D"/>
    <w:rsid w:val="00763326"/>
    <w:rsid w:val="007645A4"/>
    <w:rsid w:val="00780EBB"/>
    <w:rsid w:val="007861ED"/>
    <w:rsid w:val="00790E64"/>
    <w:rsid w:val="00797BC5"/>
    <w:rsid w:val="007A4B42"/>
    <w:rsid w:val="007A6DE4"/>
    <w:rsid w:val="007B5D89"/>
    <w:rsid w:val="007D0D0D"/>
    <w:rsid w:val="007F1E18"/>
    <w:rsid w:val="007F6A25"/>
    <w:rsid w:val="00805015"/>
    <w:rsid w:val="008056D8"/>
    <w:rsid w:val="00810196"/>
    <w:rsid w:val="00827A2C"/>
    <w:rsid w:val="00834BE8"/>
    <w:rsid w:val="00846935"/>
    <w:rsid w:val="008472C9"/>
    <w:rsid w:val="00850F91"/>
    <w:rsid w:val="00851DB9"/>
    <w:rsid w:val="00857E93"/>
    <w:rsid w:val="00863CFA"/>
    <w:rsid w:val="00894937"/>
    <w:rsid w:val="00896E02"/>
    <w:rsid w:val="008A2A9B"/>
    <w:rsid w:val="008A5976"/>
    <w:rsid w:val="008A5F7B"/>
    <w:rsid w:val="008B2098"/>
    <w:rsid w:val="008B5ED1"/>
    <w:rsid w:val="008C6CB6"/>
    <w:rsid w:val="008C7D14"/>
    <w:rsid w:val="008E0878"/>
    <w:rsid w:val="008E594A"/>
    <w:rsid w:val="008F10C4"/>
    <w:rsid w:val="009079D1"/>
    <w:rsid w:val="00930D88"/>
    <w:rsid w:val="00950AD5"/>
    <w:rsid w:val="0095459D"/>
    <w:rsid w:val="009553C9"/>
    <w:rsid w:val="00957D26"/>
    <w:rsid w:val="00961DB6"/>
    <w:rsid w:val="00964C8F"/>
    <w:rsid w:val="009744F1"/>
    <w:rsid w:val="00984609"/>
    <w:rsid w:val="00993FA5"/>
    <w:rsid w:val="009A028B"/>
    <w:rsid w:val="009A3333"/>
    <w:rsid w:val="009A63C9"/>
    <w:rsid w:val="009B271A"/>
    <w:rsid w:val="009B3E94"/>
    <w:rsid w:val="009B6BE8"/>
    <w:rsid w:val="009B7E0E"/>
    <w:rsid w:val="009C0876"/>
    <w:rsid w:val="009D1F3C"/>
    <w:rsid w:val="009E1FB6"/>
    <w:rsid w:val="009E5629"/>
    <w:rsid w:val="009E5E62"/>
    <w:rsid w:val="009F0721"/>
    <w:rsid w:val="009F29B0"/>
    <w:rsid w:val="00A06708"/>
    <w:rsid w:val="00A11A9C"/>
    <w:rsid w:val="00A26B09"/>
    <w:rsid w:val="00A3671A"/>
    <w:rsid w:val="00A508B6"/>
    <w:rsid w:val="00A6434E"/>
    <w:rsid w:val="00A737A1"/>
    <w:rsid w:val="00A805B9"/>
    <w:rsid w:val="00A838E2"/>
    <w:rsid w:val="00A951CC"/>
    <w:rsid w:val="00A951FB"/>
    <w:rsid w:val="00AA3358"/>
    <w:rsid w:val="00AB6FD3"/>
    <w:rsid w:val="00AC3FE5"/>
    <w:rsid w:val="00AC65DE"/>
    <w:rsid w:val="00AE0DDF"/>
    <w:rsid w:val="00AE413E"/>
    <w:rsid w:val="00AF7B7F"/>
    <w:rsid w:val="00B03D08"/>
    <w:rsid w:val="00B135D9"/>
    <w:rsid w:val="00B27D6B"/>
    <w:rsid w:val="00B27FC1"/>
    <w:rsid w:val="00B40F86"/>
    <w:rsid w:val="00B42E25"/>
    <w:rsid w:val="00B43C19"/>
    <w:rsid w:val="00B50EFC"/>
    <w:rsid w:val="00B523DB"/>
    <w:rsid w:val="00B524E4"/>
    <w:rsid w:val="00B52A38"/>
    <w:rsid w:val="00B6708D"/>
    <w:rsid w:val="00B84057"/>
    <w:rsid w:val="00B85F2A"/>
    <w:rsid w:val="00B942A3"/>
    <w:rsid w:val="00B9510E"/>
    <w:rsid w:val="00B95371"/>
    <w:rsid w:val="00BA2C31"/>
    <w:rsid w:val="00BA64AF"/>
    <w:rsid w:val="00BA7693"/>
    <w:rsid w:val="00BB304A"/>
    <w:rsid w:val="00BB3FEB"/>
    <w:rsid w:val="00BD0F26"/>
    <w:rsid w:val="00BD31C1"/>
    <w:rsid w:val="00BE6E73"/>
    <w:rsid w:val="00BF0C29"/>
    <w:rsid w:val="00BF4057"/>
    <w:rsid w:val="00C06A9B"/>
    <w:rsid w:val="00C12513"/>
    <w:rsid w:val="00C1616D"/>
    <w:rsid w:val="00C27187"/>
    <w:rsid w:val="00C46C22"/>
    <w:rsid w:val="00C73380"/>
    <w:rsid w:val="00C739BA"/>
    <w:rsid w:val="00C847D6"/>
    <w:rsid w:val="00C917C9"/>
    <w:rsid w:val="00CA4420"/>
    <w:rsid w:val="00CA55CD"/>
    <w:rsid w:val="00CC3D19"/>
    <w:rsid w:val="00D4403A"/>
    <w:rsid w:val="00D463D9"/>
    <w:rsid w:val="00D6154C"/>
    <w:rsid w:val="00D6316C"/>
    <w:rsid w:val="00D6567C"/>
    <w:rsid w:val="00D73A93"/>
    <w:rsid w:val="00D7532F"/>
    <w:rsid w:val="00D85D09"/>
    <w:rsid w:val="00DC571A"/>
    <w:rsid w:val="00DD0859"/>
    <w:rsid w:val="00DE3E1E"/>
    <w:rsid w:val="00DF37F8"/>
    <w:rsid w:val="00E003CE"/>
    <w:rsid w:val="00E12A34"/>
    <w:rsid w:val="00E335A7"/>
    <w:rsid w:val="00E356D7"/>
    <w:rsid w:val="00E53FF6"/>
    <w:rsid w:val="00E56A6F"/>
    <w:rsid w:val="00E84B14"/>
    <w:rsid w:val="00E938E8"/>
    <w:rsid w:val="00EA15BC"/>
    <w:rsid w:val="00EA6772"/>
    <w:rsid w:val="00EA6C72"/>
    <w:rsid w:val="00EA7F36"/>
    <w:rsid w:val="00EB52E7"/>
    <w:rsid w:val="00ED19FA"/>
    <w:rsid w:val="00ED2EC3"/>
    <w:rsid w:val="00EE36CA"/>
    <w:rsid w:val="00EF0CEE"/>
    <w:rsid w:val="00EF2901"/>
    <w:rsid w:val="00F03308"/>
    <w:rsid w:val="00F117B3"/>
    <w:rsid w:val="00F32531"/>
    <w:rsid w:val="00F36EE7"/>
    <w:rsid w:val="00F402A0"/>
    <w:rsid w:val="00F45093"/>
    <w:rsid w:val="00F57CE4"/>
    <w:rsid w:val="00F70473"/>
    <w:rsid w:val="00F71367"/>
    <w:rsid w:val="00F7427E"/>
    <w:rsid w:val="00F76EF6"/>
    <w:rsid w:val="00F80E33"/>
    <w:rsid w:val="00F83DCA"/>
    <w:rsid w:val="00F906C3"/>
    <w:rsid w:val="00F91D8B"/>
    <w:rsid w:val="00F94309"/>
    <w:rsid w:val="00FA3DA4"/>
    <w:rsid w:val="00FA422F"/>
    <w:rsid w:val="00FB4DA2"/>
    <w:rsid w:val="00FC3894"/>
    <w:rsid w:val="00FC400C"/>
    <w:rsid w:val="00FC48E4"/>
    <w:rsid w:val="0589ACDB"/>
    <w:rsid w:val="0662BC88"/>
    <w:rsid w:val="0B6B8163"/>
    <w:rsid w:val="103CBEED"/>
    <w:rsid w:val="136142CD"/>
    <w:rsid w:val="1565D1B3"/>
    <w:rsid w:val="2832EFC0"/>
    <w:rsid w:val="32D6ABDE"/>
    <w:rsid w:val="3300F02C"/>
    <w:rsid w:val="33165C7B"/>
    <w:rsid w:val="3A56CB75"/>
    <w:rsid w:val="5DB9761E"/>
    <w:rsid w:val="6BE85F0B"/>
    <w:rsid w:val="717C8673"/>
    <w:rsid w:val="720CABC5"/>
    <w:rsid w:val="7B3A8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FEA953"/>
  <w15:docId w15:val="{AC73D3EA-CEDA-47BF-8AEF-441CF8D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4"/>
        <w:szCs w:val="24"/>
        <w:lang w:val="lt-LT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widowControl w:val="0"/>
      <w:ind w:left="461"/>
      <w:outlineLvl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Caption">
    <w:name w:val="caption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paragraph" w:styleId="NoSpacing">
    <w:name w:val="No Spacing"/>
    <w:pPr>
      <w:suppressAutoHyphens/>
    </w:pPr>
    <w:rPr>
      <w:rFonts w:eastAsia="Yu Mincho"/>
      <w:sz w:val="22"/>
      <w:szCs w:val="22"/>
      <w:lang w:eastAsia="lt-LT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efaultParagraphFont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Tablecaption">
    <w:name w:val="Table caption_"/>
    <w:basedOn w:val="DefaultParagraphFont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Other">
    <w:name w:val="Other_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Bodytext2">
    <w:name w:val="Body text (2)_"/>
    <w:basedOn w:val="DefaultParagraphFont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paragraph" w:styleId="BodyText">
    <w:name w:val="Body Text"/>
    <w:basedOn w:val="Normal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</w:style>
  <w:style w:type="paragraph" w:customStyle="1" w:styleId="Headerorfooter20">
    <w:name w:val="Header or footer (2)"/>
    <w:basedOn w:val="Normal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caption0">
    <w:name w:val="Table caption"/>
    <w:basedOn w:val="Normal"/>
    <w:pPr>
      <w:widowControl w:val="0"/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ther0">
    <w:name w:val="Other"/>
    <w:basedOn w:val="Normal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pPr>
      <w:widowControl w:val="0"/>
    </w:pPr>
    <w:rPr>
      <w:sz w:val="22"/>
      <w:szCs w:val="22"/>
      <w:lang w:val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B3FE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B3FEB"/>
    <w:rPr>
      <w:b/>
      <w:bCs/>
      <w:sz w:val="20"/>
      <w:szCs w:val="20"/>
    </w:rPr>
  </w:style>
  <w:style w:type="paragraph" w:customStyle="1" w:styleId="tajtip">
    <w:name w:val="tajtip"/>
    <w:basedOn w:val="Normal"/>
    <w:rsid w:val="003E7A67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paragraph" w:customStyle="1" w:styleId="paragraph">
    <w:name w:val="paragraph"/>
    <w:basedOn w:val="Normal"/>
    <w:rsid w:val="00D6567C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DefaultParagraphFont"/>
    <w:rsid w:val="00D6567C"/>
  </w:style>
  <w:style w:type="character" w:customStyle="1" w:styleId="eop">
    <w:name w:val="eop"/>
    <w:basedOn w:val="DefaultParagraphFont"/>
    <w:rsid w:val="00D6567C"/>
  </w:style>
  <w:style w:type="paragraph" w:styleId="Revision">
    <w:name w:val="Revision"/>
    <w:hidden/>
    <w:uiPriority w:val="99"/>
    <w:semiHidden/>
    <w:rsid w:val="00D6567C"/>
    <w:pPr>
      <w:autoSpaceDN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D0F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0F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F2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22868"/>
    <w:pPr>
      <w:autoSpaceDN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-text--selectable">
    <w:name w:val="app-text--selectable"/>
    <w:basedOn w:val="DefaultParagraphFont"/>
    <w:rsid w:val="000C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e9fc73-507d-436b-8c26-17e8e79c87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7E084D12E5A7940A282310AD71BB2A5" ma:contentTypeVersion="18" ma:contentTypeDescription="Kurkite naują dokumentą." ma:contentTypeScope="" ma:versionID="52bab5ed70ec24c511a4f6333eef69bc">
  <xsd:schema xmlns:xsd="http://www.w3.org/2001/XMLSchema" xmlns:xs="http://www.w3.org/2001/XMLSchema" xmlns:p="http://schemas.microsoft.com/office/2006/metadata/properties" xmlns:ns3="4ae9fc73-507d-436b-8c26-17e8e79c87a7" xmlns:ns4="bc77d55e-b49e-460d-a61f-6c08f2d24307" targetNamespace="http://schemas.microsoft.com/office/2006/metadata/properties" ma:root="true" ma:fieldsID="6b4da492218d969da167fae2176802a9" ns3:_="" ns4:_="">
    <xsd:import namespace="4ae9fc73-507d-436b-8c26-17e8e79c87a7"/>
    <xsd:import namespace="bc77d55e-b49e-460d-a61f-6c08f2d24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fc73-507d-436b-8c26-17e8e79c8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d55e-b49e-460d-a61f-6c08f2d2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226F-5F18-47A5-8CF2-71F40FE22347}">
  <ds:schemaRefs>
    <ds:schemaRef ds:uri="bc77d55e-b49e-460d-a61f-6c08f2d243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e9fc73-507d-436b-8c26-17e8e79c87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D08D29-BB83-45F5-A188-33101A0A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fc73-507d-436b-8c26-17e8e79c87a7"/>
    <ds:schemaRef ds:uri="bc77d55e-b49e-460d-a61f-6c08f2d2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893CC-B893-47F0-B77F-A0FEBC6B5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08025-49DC-4321-B9ED-777C9A1E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4675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Švedaitė-Sakalauskė</dc:creator>
  <dc:description/>
  <cp:lastModifiedBy>Agata Katkonienė</cp:lastModifiedBy>
  <cp:revision>2</cp:revision>
  <cp:lastPrinted>2021-06-03T09:08:00Z</cp:lastPrinted>
  <dcterms:created xsi:type="dcterms:W3CDTF">2025-06-25T12:46:00Z</dcterms:created>
  <dcterms:modified xsi:type="dcterms:W3CDTF">2025-06-25T12:46:00Z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0x01010097E084D12E5A7940A282310AD71BB2A5</vt:lpwstr>
  </property>
</Properties>
</file>